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20EF" w14:textId="1B9D66B6" w:rsidR="006D0FFE" w:rsidRPr="0085062E" w:rsidRDefault="006D0FFE" w:rsidP="006D0FFE">
      <w:pPr>
        <w:jc w:val="center"/>
        <w:rPr>
          <w:b/>
          <w:bCs/>
          <w:u w:val="single"/>
          <w:lang w:val="en-US"/>
        </w:rPr>
      </w:pPr>
      <w:r w:rsidRPr="0085062E">
        <w:rPr>
          <w:b/>
          <w:bCs/>
          <w:u w:val="single"/>
          <w:lang w:val="en-US"/>
        </w:rPr>
        <w:t>Sector Assessment Process</w:t>
      </w:r>
    </w:p>
    <w:p w14:paraId="066A052F" w14:textId="74DF47BD" w:rsidR="00C57A5B" w:rsidRPr="0085062E" w:rsidRDefault="006D0FFE" w:rsidP="006D0FFE">
      <w:pPr>
        <w:jc w:val="center"/>
        <w:rPr>
          <w:b/>
          <w:bCs/>
          <w:u w:val="single"/>
          <w:lang w:val="en-US"/>
        </w:rPr>
      </w:pPr>
      <w:r w:rsidRPr="0085062E">
        <w:rPr>
          <w:b/>
          <w:bCs/>
          <w:u w:val="single"/>
          <w:lang w:val="en-US"/>
        </w:rPr>
        <w:t>Project Brief</w:t>
      </w:r>
    </w:p>
    <w:p w14:paraId="14D4B377" w14:textId="113D0098" w:rsidR="006D0FFE" w:rsidRDefault="006D0FFE" w:rsidP="006D0FFE">
      <w:pPr>
        <w:jc w:val="center"/>
        <w:rPr>
          <w:lang w:val="en-US"/>
        </w:rPr>
      </w:pPr>
    </w:p>
    <w:p w14:paraId="6C4C8A94" w14:textId="0BD0D008" w:rsidR="006D0FFE" w:rsidRDefault="006D0FFE" w:rsidP="006D0FFE">
      <w:pPr>
        <w:jc w:val="both"/>
        <w:rPr>
          <w:lang w:val="en-US"/>
        </w:rPr>
      </w:pPr>
      <w:r>
        <w:rPr>
          <w:lang w:val="en-US"/>
        </w:rPr>
        <w:t xml:space="preserve">The development of an assessment process for the sector is a key area of work </w:t>
      </w:r>
      <w:r w:rsidR="008C577F">
        <w:rPr>
          <w:lang w:val="en-US"/>
        </w:rPr>
        <w:t>that will significantly contribute towards</w:t>
      </w:r>
      <w:r>
        <w:rPr>
          <w:lang w:val="en-US"/>
        </w:rPr>
        <w:t xml:space="preserve"> fulfilling the three strategic objectives of the Project as set by the funders. </w:t>
      </w:r>
      <w:r w:rsidR="008C577F">
        <w:rPr>
          <w:lang w:val="en-US"/>
        </w:rPr>
        <w:t>The process</w:t>
      </w:r>
      <w:r w:rsidR="00C13BBD">
        <w:rPr>
          <w:lang w:val="en-US"/>
        </w:rPr>
        <w:t xml:space="preserve"> will provide measurable benefits across all </w:t>
      </w:r>
      <w:r w:rsidR="00262517">
        <w:rPr>
          <w:lang w:val="en-US"/>
        </w:rPr>
        <w:t>objectives</w:t>
      </w:r>
      <w:r w:rsidR="00C13BBD">
        <w:rPr>
          <w:lang w:val="en-US"/>
        </w:rPr>
        <w:t>:</w:t>
      </w:r>
    </w:p>
    <w:p w14:paraId="77A9F76E" w14:textId="017D4F4E" w:rsidR="0099309F" w:rsidRDefault="00C13BBD" w:rsidP="006D0FFE">
      <w:pPr>
        <w:jc w:val="both"/>
        <w:rPr>
          <w:lang w:val="en-US"/>
        </w:rPr>
      </w:pPr>
      <w:r w:rsidRPr="00262517">
        <w:rPr>
          <w:b/>
          <w:bCs/>
          <w:lang w:val="en-US"/>
        </w:rPr>
        <w:t>Coordination</w:t>
      </w:r>
      <w:r>
        <w:rPr>
          <w:lang w:val="en-US"/>
        </w:rPr>
        <w:t xml:space="preserve"> – </w:t>
      </w:r>
      <w:r w:rsidR="00262517">
        <w:rPr>
          <w:lang w:val="en-US"/>
        </w:rPr>
        <w:t>The process will result in the completion of a c</w:t>
      </w:r>
      <w:r>
        <w:rPr>
          <w:lang w:val="en-US"/>
        </w:rPr>
        <w:t xml:space="preserve">omprehensive assessment </w:t>
      </w:r>
      <w:r w:rsidR="00262517">
        <w:rPr>
          <w:lang w:val="en-US"/>
        </w:rPr>
        <w:t>of activity across the sector, highlighting the k</w:t>
      </w:r>
      <w:r>
        <w:rPr>
          <w:lang w:val="en-US"/>
        </w:rPr>
        <w:t xml:space="preserve">ey issues affecting migrant settlement across </w:t>
      </w:r>
      <w:r w:rsidR="001B1379">
        <w:rPr>
          <w:lang w:val="en-US"/>
        </w:rPr>
        <w:t xml:space="preserve">the four </w:t>
      </w:r>
      <w:r w:rsidR="00283F6C">
        <w:rPr>
          <w:lang w:val="en-US"/>
        </w:rPr>
        <w:t xml:space="preserve">broad thematic </w:t>
      </w:r>
      <w:r w:rsidR="00232EC9">
        <w:rPr>
          <w:lang w:val="en-US"/>
        </w:rPr>
        <w:t xml:space="preserve">(RIGHTS, HEALTH, OPPORTUNITIES, COMMUNITY) </w:t>
      </w:r>
      <w:r w:rsidR="00283F6C">
        <w:rPr>
          <w:lang w:val="en-US"/>
        </w:rPr>
        <w:t>areas</w:t>
      </w:r>
      <w:r w:rsidR="001B1379">
        <w:rPr>
          <w:lang w:val="en-US"/>
        </w:rPr>
        <w:t xml:space="preserve"> of the Project</w:t>
      </w:r>
      <w:r w:rsidR="00283F6C">
        <w:rPr>
          <w:lang w:val="en-US"/>
        </w:rPr>
        <w:t xml:space="preserve">. </w:t>
      </w:r>
      <w:r w:rsidR="001B1379">
        <w:rPr>
          <w:lang w:val="en-US"/>
        </w:rPr>
        <w:t xml:space="preserve">As the </w:t>
      </w:r>
      <w:r w:rsidR="00B0028A">
        <w:rPr>
          <w:lang w:val="en-US"/>
        </w:rPr>
        <w:t>assessment will encompass issues across the whole sector i</w:t>
      </w:r>
      <w:r w:rsidR="009A74BD">
        <w:rPr>
          <w:lang w:val="en-US"/>
        </w:rPr>
        <w:t xml:space="preserve">t will </w:t>
      </w:r>
      <w:r w:rsidR="00B0028A">
        <w:rPr>
          <w:lang w:val="en-US"/>
        </w:rPr>
        <w:t xml:space="preserve">be of relevance to </w:t>
      </w:r>
      <w:r w:rsidR="009A74BD">
        <w:rPr>
          <w:lang w:val="en-US"/>
        </w:rPr>
        <w:t>both specialist and generalist</w:t>
      </w:r>
      <w:r w:rsidR="00B0028A">
        <w:rPr>
          <w:lang w:val="en-US"/>
        </w:rPr>
        <w:t xml:space="preserve"> organisations</w:t>
      </w:r>
      <w:r w:rsidR="009A74BD">
        <w:rPr>
          <w:lang w:val="en-US"/>
        </w:rPr>
        <w:t xml:space="preserve">, </w:t>
      </w:r>
      <w:r w:rsidR="00B0028A">
        <w:rPr>
          <w:lang w:val="en-US"/>
        </w:rPr>
        <w:t>encouraging</w:t>
      </w:r>
      <w:r w:rsidR="009A74BD">
        <w:rPr>
          <w:lang w:val="en-US"/>
        </w:rPr>
        <w:t xml:space="preserve"> engage</w:t>
      </w:r>
      <w:r w:rsidR="00B0028A">
        <w:rPr>
          <w:lang w:val="en-US"/>
        </w:rPr>
        <w:t>ment</w:t>
      </w:r>
      <w:r w:rsidR="009A74BD">
        <w:rPr>
          <w:lang w:val="en-US"/>
        </w:rPr>
        <w:t xml:space="preserve"> with identified priorities an</w:t>
      </w:r>
      <w:r w:rsidR="0099309F">
        <w:rPr>
          <w:lang w:val="en-US"/>
        </w:rPr>
        <w:t xml:space="preserve">d </w:t>
      </w:r>
      <w:r w:rsidR="00B0028A">
        <w:rPr>
          <w:lang w:val="en-US"/>
        </w:rPr>
        <w:t>generate</w:t>
      </w:r>
      <w:r w:rsidR="0099309F">
        <w:rPr>
          <w:lang w:val="en-US"/>
        </w:rPr>
        <w:t xml:space="preserve"> a </w:t>
      </w:r>
      <w:r w:rsidR="00B0028A">
        <w:rPr>
          <w:lang w:val="en-US"/>
        </w:rPr>
        <w:t>wide</w:t>
      </w:r>
      <w:r w:rsidR="0099309F">
        <w:rPr>
          <w:lang w:val="en-US"/>
        </w:rPr>
        <w:t xml:space="preserve"> sector response. </w:t>
      </w:r>
    </w:p>
    <w:p w14:paraId="0E7D9251" w14:textId="48521405" w:rsidR="0099309F" w:rsidRDefault="0099309F" w:rsidP="006D0FFE">
      <w:pPr>
        <w:jc w:val="both"/>
        <w:rPr>
          <w:lang w:val="en-US"/>
        </w:rPr>
      </w:pPr>
      <w:r w:rsidRPr="00705465">
        <w:rPr>
          <w:b/>
          <w:bCs/>
          <w:lang w:val="en-US"/>
        </w:rPr>
        <w:t>Communication</w:t>
      </w:r>
      <w:r>
        <w:rPr>
          <w:lang w:val="en-US"/>
        </w:rPr>
        <w:t xml:space="preserve"> – The assessment will highlight key issues and priorities that can be used in discussions with partners and stakeholders </w:t>
      </w:r>
      <w:r w:rsidR="00705465">
        <w:rPr>
          <w:lang w:val="en-US"/>
        </w:rPr>
        <w:t>by</w:t>
      </w:r>
      <w:r>
        <w:rPr>
          <w:lang w:val="en-US"/>
        </w:rPr>
        <w:t xml:space="preserve"> provid</w:t>
      </w:r>
      <w:r w:rsidR="00705465">
        <w:rPr>
          <w:lang w:val="en-US"/>
        </w:rPr>
        <w:t>ing</w:t>
      </w:r>
      <w:r>
        <w:rPr>
          <w:lang w:val="en-US"/>
        </w:rPr>
        <w:t xml:space="preserve"> an eviden</w:t>
      </w:r>
      <w:r w:rsidR="00705465">
        <w:rPr>
          <w:lang w:val="en-US"/>
        </w:rPr>
        <w:t>tial</w:t>
      </w:r>
      <w:r>
        <w:rPr>
          <w:lang w:val="en-US"/>
        </w:rPr>
        <w:t xml:space="preserve"> bas</w:t>
      </w:r>
      <w:r w:rsidR="00705465">
        <w:rPr>
          <w:lang w:val="en-US"/>
        </w:rPr>
        <w:t>is</w:t>
      </w:r>
      <w:r>
        <w:rPr>
          <w:lang w:val="en-US"/>
        </w:rPr>
        <w:t xml:space="preserve"> to </w:t>
      </w:r>
      <w:r w:rsidR="00705465">
        <w:rPr>
          <w:lang w:val="en-US"/>
        </w:rPr>
        <w:t>agree</w:t>
      </w:r>
      <w:r>
        <w:rPr>
          <w:lang w:val="en-US"/>
        </w:rPr>
        <w:t xml:space="preserve"> action. </w:t>
      </w:r>
      <w:r w:rsidR="00637057">
        <w:rPr>
          <w:lang w:val="en-US"/>
        </w:rPr>
        <w:t>Through the</w:t>
      </w:r>
      <w:r w:rsidR="00705465">
        <w:rPr>
          <w:lang w:val="en-US"/>
        </w:rPr>
        <w:t xml:space="preserve"> </w:t>
      </w:r>
      <w:r>
        <w:rPr>
          <w:lang w:val="en-US"/>
        </w:rPr>
        <w:t>highlight</w:t>
      </w:r>
      <w:r w:rsidR="00705465">
        <w:rPr>
          <w:lang w:val="en-US"/>
        </w:rPr>
        <w:t>ing of</w:t>
      </w:r>
      <w:r>
        <w:rPr>
          <w:lang w:val="en-US"/>
        </w:rPr>
        <w:t xml:space="preserve"> current activity and best practice </w:t>
      </w:r>
      <w:r w:rsidR="00705465">
        <w:rPr>
          <w:lang w:val="en-US"/>
        </w:rPr>
        <w:t xml:space="preserve">amongst organisations, it will </w:t>
      </w:r>
      <w:r>
        <w:rPr>
          <w:lang w:val="en-US"/>
        </w:rPr>
        <w:t>increase awareness outside of the sector</w:t>
      </w:r>
      <w:r w:rsidR="00705465">
        <w:rPr>
          <w:lang w:val="en-US"/>
        </w:rPr>
        <w:t xml:space="preserve"> with policymakers and the wider public</w:t>
      </w:r>
      <w:r>
        <w:rPr>
          <w:lang w:val="en-US"/>
        </w:rPr>
        <w:t>.</w:t>
      </w:r>
    </w:p>
    <w:p w14:paraId="3ABE7907" w14:textId="4E55E508" w:rsidR="0099309F" w:rsidRDefault="0099309F" w:rsidP="006D0FFE">
      <w:pPr>
        <w:jc w:val="both"/>
        <w:rPr>
          <w:lang w:val="en-US"/>
        </w:rPr>
      </w:pPr>
      <w:r w:rsidRPr="00EF061B">
        <w:rPr>
          <w:b/>
          <w:bCs/>
          <w:lang w:val="en-US"/>
        </w:rPr>
        <w:t>Strategic Understanding</w:t>
      </w:r>
      <w:r>
        <w:rPr>
          <w:lang w:val="en-US"/>
        </w:rPr>
        <w:t xml:space="preserve"> – The assessment </w:t>
      </w:r>
      <w:r w:rsidR="00637057">
        <w:rPr>
          <w:lang w:val="en-US"/>
        </w:rPr>
        <w:t xml:space="preserve">process </w:t>
      </w:r>
      <w:r>
        <w:rPr>
          <w:lang w:val="en-US"/>
        </w:rPr>
        <w:t xml:space="preserve">will </w:t>
      </w:r>
      <w:r w:rsidR="00637057">
        <w:rPr>
          <w:lang w:val="en-US"/>
        </w:rPr>
        <w:t>provide detailed insight</w:t>
      </w:r>
      <w:r>
        <w:rPr>
          <w:lang w:val="en-US"/>
        </w:rPr>
        <w:t xml:space="preserve"> in</w:t>
      </w:r>
      <w:r w:rsidR="00637057">
        <w:rPr>
          <w:lang w:val="en-US"/>
        </w:rPr>
        <w:t>to</w:t>
      </w:r>
      <w:r>
        <w:rPr>
          <w:lang w:val="en-US"/>
        </w:rPr>
        <w:t xml:space="preserve"> current activity within the sector, </w:t>
      </w:r>
      <w:r w:rsidR="00637057">
        <w:rPr>
          <w:lang w:val="en-US"/>
        </w:rPr>
        <w:t>including how outcomes for service users are measured.</w:t>
      </w:r>
      <w:r>
        <w:rPr>
          <w:lang w:val="en-US"/>
        </w:rPr>
        <w:t xml:space="preserve"> It will identify any gaps in </w:t>
      </w:r>
      <w:r w:rsidR="00637057">
        <w:rPr>
          <w:lang w:val="en-US"/>
        </w:rPr>
        <w:t>provision</w:t>
      </w:r>
      <w:r w:rsidR="008871BA">
        <w:rPr>
          <w:lang w:val="en-US"/>
        </w:rPr>
        <w:t>, new emerging issues</w:t>
      </w:r>
      <w:r>
        <w:rPr>
          <w:lang w:val="en-US"/>
        </w:rPr>
        <w:t xml:space="preserve"> and </w:t>
      </w:r>
      <w:r w:rsidR="00637057">
        <w:rPr>
          <w:lang w:val="en-US"/>
        </w:rPr>
        <w:t>enable</w:t>
      </w:r>
      <w:r>
        <w:rPr>
          <w:lang w:val="en-US"/>
        </w:rPr>
        <w:t xml:space="preserve"> a pathway between </w:t>
      </w:r>
      <w:r w:rsidR="00637057">
        <w:rPr>
          <w:lang w:val="en-US"/>
        </w:rPr>
        <w:t>services to be developed and embedded in the sector.</w:t>
      </w:r>
      <w:r>
        <w:rPr>
          <w:lang w:val="en-US"/>
        </w:rPr>
        <w:t xml:space="preserve"> </w:t>
      </w:r>
    </w:p>
    <w:p w14:paraId="32B601DE" w14:textId="68617913" w:rsidR="00D1786E" w:rsidRDefault="00D1786E" w:rsidP="006D0FFE">
      <w:pPr>
        <w:jc w:val="both"/>
        <w:rPr>
          <w:lang w:val="en-US"/>
        </w:rPr>
      </w:pPr>
      <w:r>
        <w:rPr>
          <w:lang w:val="en-US"/>
        </w:rPr>
        <w:t>Three key products that will be developed by the Project to conduct this process:</w:t>
      </w:r>
    </w:p>
    <w:p w14:paraId="1FCF0F51" w14:textId="77777777" w:rsidR="00D1786E" w:rsidRDefault="00D1786E" w:rsidP="00D1786E">
      <w:pPr>
        <w:jc w:val="both"/>
        <w:rPr>
          <w:b/>
          <w:bCs/>
          <w:u w:val="single"/>
          <w:lang w:val="en-US"/>
        </w:rPr>
      </w:pPr>
    </w:p>
    <w:p w14:paraId="388B26BF" w14:textId="635EA1BD" w:rsidR="0099309F" w:rsidRPr="00D1786E" w:rsidRDefault="0099309F" w:rsidP="00D1786E">
      <w:pPr>
        <w:jc w:val="both"/>
        <w:rPr>
          <w:lang w:val="en-US"/>
        </w:rPr>
      </w:pPr>
      <w:r w:rsidRPr="00D1786E">
        <w:rPr>
          <w:b/>
          <w:bCs/>
          <w:u w:val="single"/>
          <w:lang w:val="en-US"/>
        </w:rPr>
        <w:t>Sector Assessment</w:t>
      </w:r>
      <w:r w:rsidRPr="00D1786E">
        <w:rPr>
          <w:lang w:val="en-US"/>
        </w:rPr>
        <w:t xml:space="preserve"> – </w:t>
      </w:r>
      <w:r w:rsidR="00D1786E">
        <w:rPr>
          <w:lang w:val="en-US"/>
        </w:rPr>
        <w:t>The assessment will be produced every 12 months and document the current s</w:t>
      </w:r>
      <w:r w:rsidRPr="00D1786E">
        <w:rPr>
          <w:lang w:val="en-US"/>
        </w:rPr>
        <w:t xml:space="preserve">tate of the </w:t>
      </w:r>
      <w:r w:rsidR="00D1786E">
        <w:rPr>
          <w:lang w:val="en-US"/>
        </w:rPr>
        <w:t>s</w:t>
      </w:r>
      <w:r w:rsidRPr="00D1786E">
        <w:rPr>
          <w:lang w:val="en-US"/>
        </w:rPr>
        <w:t>ector.</w:t>
      </w:r>
      <w:r w:rsidR="00D1786E">
        <w:rPr>
          <w:lang w:val="en-US"/>
        </w:rPr>
        <w:t xml:space="preserve"> It will provide a s</w:t>
      </w:r>
      <w:r w:rsidR="00216668" w:rsidRPr="00D1786E">
        <w:rPr>
          <w:lang w:val="en-US"/>
        </w:rPr>
        <w:t>napshot of current activity</w:t>
      </w:r>
      <w:r w:rsidR="006A1F41">
        <w:rPr>
          <w:lang w:val="en-US"/>
        </w:rPr>
        <w:t>, gaps</w:t>
      </w:r>
      <w:r w:rsidR="00D1786E">
        <w:rPr>
          <w:lang w:val="en-US"/>
        </w:rPr>
        <w:t xml:space="preserve"> </w:t>
      </w:r>
      <w:r w:rsidR="00F6749C">
        <w:rPr>
          <w:lang w:val="en-US"/>
        </w:rPr>
        <w:t xml:space="preserve">identified through research </w:t>
      </w:r>
      <w:r w:rsidR="00D1786E">
        <w:rPr>
          <w:lang w:val="en-US"/>
        </w:rPr>
        <w:t>and challenges</w:t>
      </w:r>
      <w:r w:rsidR="00216668" w:rsidRPr="00D1786E">
        <w:rPr>
          <w:lang w:val="en-US"/>
        </w:rPr>
        <w:t xml:space="preserve">. </w:t>
      </w:r>
      <w:r w:rsidR="006A1F41">
        <w:rPr>
          <w:lang w:val="en-US"/>
        </w:rPr>
        <w:t>By utilising the f</w:t>
      </w:r>
      <w:r w:rsidR="00216668" w:rsidRPr="00D1786E">
        <w:rPr>
          <w:lang w:val="en-US"/>
        </w:rPr>
        <w:t xml:space="preserve">our broad themes </w:t>
      </w:r>
      <w:r w:rsidR="006A1F41">
        <w:rPr>
          <w:lang w:val="en-US"/>
        </w:rPr>
        <w:t xml:space="preserve">of the Project </w:t>
      </w:r>
      <w:r w:rsidR="00216668" w:rsidRPr="00D1786E">
        <w:rPr>
          <w:lang w:val="en-US"/>
        </w:rPr>
        <w:t xml:space="preserve">will allow all groups that support with migrants to be consulted and involved. </w:t>
      </w:r>
      <w:r w:rsidR="006A1F41">
        <w:rPr>
          <w:lang w:val="en-US"/>
        </w:rPr>
        <w:t>Each assessment will i</w:t>
      </w:r>
      <w:r w:rsidR="00216668" w:rsidRPr="00D1786E">
        <w:rPr>
          <w:lang w:val="en-US"/>
        </w:rPr>
        <w:t xml:space="preserve">dentify four </w:t>
      </w:r>
      <w:r w:rsidR="006A1F41">
        <w:rPr>
          <w:lang w:val="en-US"/>
        </w:rPr>
        <w:t xml:space="preserve">key </w:t>
      </w:r>
      <w:r w:rsidR="00216668" w:rsidRPr="00D1786E">
        <w:rPr>
          <w:lang w:val="en-US"/>
        </w:rPr>
        <w:t>issues (one per theme</w:t>
      </w:r>
      <w:r w:rsidR="00364974" w:rsidRPr="00D1786E">
        <w:rPr>
          <w:lang w:val="en-US"/>
        </w:rPr>
        <w:t xml:space="preserve">) </w:t>
      </w:r>
      <w:r w:rsidR="006A1F41">
        <w:rPr>
          <w:lang w:val="en-US"/>
        </w:rPr>
        <w:t xml:space="preserve">affecting the sector that can be </w:t>
      </w:r>
      <w:r w:rsidR="00216668" w:rsidRPr="00D1786E">
        <w:rPr>
          <w:lang w:val="en-US"/>
        </w:rPr>
        <w:t>developed</w:t>
      </w:r>
      <w:r w:rsidR="006A1F41">
        <w:rPr>
          <w:lang w:val="en-US"/>
        </w:rPr>
        <w:t xml:space="preserve">, </w:t>
      </w:r>
      <w:r w:rsidR="00364974" w:rsidRPr="00D1786E">
        <w:rPr>
          <w:lang w:val="en-US"/>
        </w:rPr>
        <w:t>actioned</w:t>
      </w:r>
      <w:r w:rsidR="006A1F41">
        <w:rPr>
          <w:lang w:val="en-US"/>
        </w:rPr>
        <w:t xml:space="preserve"> and resolved</w:t>
      </w:r>
      <w:r w:rsidR="00364974" w:rsidRPr="00D1786E">
        <w:rPr>
          <w:lang w:val="en-US"/>
        </w:rPr>
        <w:t xml:space="preserve">. </w:t>
      </w:r>
    </w:p>
    <w:p w14:paraId="400A7812" w14:textId="6C131DC8" w:rsidR="00364974" w:rsidRDefault="002A1D4F" w:rsidP="006D0FFE">
      <w:pPr>
        <w:jc w:val="both"/>
        <w:rPr>
          <w:lang w:val="en-US"/>
        </w:rPr>
      </w:pPr>
      <w:r>
        <w:rPr>
          <w:lang w:val="en-US"/>
        </w:rPr>
        <w:t xml:space="preserve">The Sector </w:t>
      </w:r>
      <w:r w:rsidR="00364974">
        <w:rPr>
          <w:lang w:val="en-US"/>
        </w:rPr>
        <w:t xml:space="preserve">Assessment will </w:t>
      </w:r>
      <w:r>
        <w:rPr>
          <w:lang w:val="en-US"/>
        </w:rPr>
        <w:t xml:space="preserve">be used to </w:t>
      </w:r>
      <w:r w:rsidR="00364974">
        <w:rPr>
          <w:lang w:val="en-US"/>
        </w:rPr>
        <w:t xml:space="preserve">drive </w:t>
      </w:r>
      <w:r>
        <w:rPr>
          <w:lang w:val="en-US"/>
        </w:rPr>
        <w:t xml:space="preserve">the </w:t>
      </w:r>
      <w:r w:rsidR="00364974">
        <w:rPr>
          <w:lang w:val="en-US"/>
        </w:rPr>
        <w:t>key business of the Project. Thematic lead</w:t>
      </w:r>
      <w:r>
        <w:rPr>
          <w:lang w:val="en-US"/>
        </w:rPr>
        <w:t>s on the Project Board</w:t>
      </w:r>
      <w:r w:rsidR="00364974">
        <w:rPr>
          <w:lang w:val="en-US"/>
        </w:rPr>
        <w:t xml:space="preserve"> will </w:t>
      </w:r>
      <w:r>
        <w:rPr>
          <w:lang w:val="en-US"/>
        </w:rPr>
        <w:t>each take</w:t>
      </w:r>
      <w:r w:rsidR="00364974">
        <w:rPr>
          <w:lang w:val="en-US"/>
        </w:rPr>
        <w:t xml:space="preserve"> ownership of one </w:t>
      </w:r>
      <w:r>
        <w:rPr>
          <w:lang w:val="en-US"/>
        </w:rPr>
        <w:t>key issue</w:t>
      </w:r>
      <w:r w:rsidR="00364974">
        <w:rPr>
          <w:lang w:val="en-US"/>
        </w:rPr>
        <w:t xml:space="preserve">, </w:t>
      </w:r>
      <w:r>
        <w:rPr>
          <w:lang w:val="en-US"/>
        </w:rPr>
        <w:t>with the aim of leading on a response. The Project</w:t>
      </w:r>
      <w:r w:rsidR="00364974">
        <w:rPr>
          <w:lang w:val="en-US"/>
        </w:rPr>
        <w:t xml:space="preserve"> will commission sub-group</w:t>
      </w:r>
      <w:r>
        <w:rPr>
          <w:lang w:val="en-US"/>
        </w:rPr>
        <w:t>s</w:t>
      </w:r>
      <w:r w:rsidR="00364974">
        <w:rPr>
          <w:lang w:val="en-US"/>
        </w:rPr>
        <w:t xml:space="preserve"> </w:t>
      </w:r>
      <w:r>
        <w:rPr>
          <w:lang w:val="en-US"/>
        </w:rPr>
        <w:t xml:space="preserve">attended by </w:t>
      </w:r>
      <w:r w:rsidR="00364974">
        <w:rPr>
          <w:lang w:val="en-US"/>
        </w:rPr>
        <w:t xml:space="preserve">key stakeholders to </w:t>
      </w:r>
      <w:r>
        <w:rPr>
          <w:lang w:val="en-US"/>
        </w:rPr>
        <w:t xml:space="preserve">assist in </w:t>
      </w:r>
      <w:r w:rsidR="00364974">
        <w:rPr>
          <w:lang w:val="en-US"/>
        </w:rPr>
        <w:t>develop</w:t>
      </w:r>
      <w:r>
        <w:rPr>
          <w:lang w:val="en-US"/>
        </w:rPr>
        <w:t>ing</w:t>
      </w:r>
      <w:r w:rsidR="00364974">
        <w:rPr>
          <w:lang w:val="en-US"/>
        </w:rPr>
        <w:t xml:space="preserve"> </w:t>
      </w:r>
      <w:r>
        <w:rPr>
          <w:lang w:val="en-US"/>
        </w:rPr>
        <w:t>this r</w:t>
      </w:r>
      <w:r w:rsidR="00364974">
        <w:rPr>
          <w:lang w:val="en-US"/>
        </w:rPr>
        <w:t>esponse</w:t>
      </w:r>
      <w:r>
        <w:rPr>
          <w:lang w:val="en-US"/>
        </w:rPr>
        <w:t xml:space="preserve">. Key issues will be </w:t>
      </w:r>
      <w:r w:rsidR="00364974">
        <w:rPr>
          <w:lang w:val="en-US"/>
        </w:rPr>
        <w:t>review</w:t>
      </w:r>
      <w:r>
        <w:rPr>
          <w:lang w:val="en-US"/>
        </w:rPr>
        <w:t>ed</w:t>
      </w:r>
      <w:r w:rsidR="00364974">
        <w:rPr>
          <w:lang w:val="en-US"/>
        </w:rPr>
        <w:t xml:space="preserve"> every 12 months.</w:t>
      </w:r>
    </w:p>
    <w:p w14:paraId="26A72B23" w14:textId="0E01067A" w:rsidR="00364974" w:rsidRDefault="002A1D4F" w:rsidP="006D0FFE">
      <w:pPr>
        <w:jc w:val="both"/>
        <w:rPr>
          <w:lang w:val="en-US"/>
        </w:rPr>
      </w:pPr>
      <w:r>
        <w:rPr>
          <w:lang w:val="en-US"/>
        </w:rPr>
        <w:t>The fi</w:t>
      </w:r>
      <w:r w:rsidR="00364974">
        <w:rPr>
          <w:lang w:val="en-US"/>
        </w:rPr>
        <w:t xml:space="preserve">rst </w:t>
      </w:r>
      <w:r>
        <w:rPr>
          <w:lang w:val="en-US"/>
        </w:rPr>
        <w:t xml:space="preserve">iteration of the </w:t>
      </w:r>
      <w:r w:rsidR="00364974">
        <w:rPr>
          <w:lang w:val="en-US"/>
        </w:rPr>
        <w:t xml:space="preserve">assessment will by nature include </w:t>
      </w:r>
      <w:r>
        <w:rPr>
          <w:lang w:val="en-US"/>
        </w:rPr>
        <w:t xml:space="preserve">several </w:t>
      </w:r>
      <w:r w:rsidR="00364974">
        <w:rPr>
          <w:lang w:val="en-US"/>
        </w:rPr>
        <w:t>gaps around sector knowledge</w:t>
      </w:r>
      <w:r>
        <w:rPr>
          <w:lang w:val="en-US"/>
        </w:rPr>
        <w:t xml:space="preserve">, but </w:t>
      </w:r>
      <w:r w:rsidR="00364974">
        <w:rPr>
          <w:lang w:val="en-US"/>
        </w:rPr>
        <w:t xml:space="preserve">with recommendations </w:t>
      </w:r>
      <w:r>
        <w:rPr>
          <w:lang w:val="en-US"/>
        </w:rPr>
        <w:t xml:space="preserve">of </w:t>
      </w:r>
      <w:r w:rsidR="00364974">
        <w:rPr>
          <w:lang w:val="en-US"/>
        </w:rPr>
        <w:t xml:space="preserve">how to </w:t>
      </w:r>
      <w:r>
        <w:rPr>
          <w:lang w:val="en-US"/>
        </w:rPr>
        <w:t xml:space="preserve">close these. As knowledge increases through outreach work, these </w:t>
      </w:r>
      <w:r w:rsidR="00364974">
        <w:rPr>
          <w:lang w:val="en-US"/>
        </w:rPr>
        <w:t xml:space="preserve">will be resolved </w:t>
      </w:r>
      <w:r w:rsidR="005458AF">
        <w:rPr>
          <w:lang w:val="en-US"/>
        </w:rPr>
        <w:t>and replaced by new emerging issues that will be identified by further assessment</w:t>
      </w:r>
      <w:r w:rsidR="00F6749C">
        <w:rPr>
          <w:lang w:val="en-US"/>
        </w:rPr>
        <w:t>, research</w:t>
      </w:r>
      <w:r w:rsidR="005458AF">
        <w:rPr>
          <w:lang w:val="en-US"/>
        </w:rPr>
        <w:t xml:space="preserve"> and engagement with partners.</w:t>
      </w:r>
    </w:p>
    <w:p w14:paraId="2ED5E8E9" w14:textId="5F55109A" w:rsidR="005458AF" w:rsidRDefault="005458AF" w:rsidP="006D0FFE">
      <w:pPr>
        <w:jc w:val="both"/>
        <w:rPr>
          <w:lang w:val="en-US"/>
        </w:rPr>
      </w:pPr>
    </w:p>
    <w:p w14:paraId="755C4143" w14:textId="53941F48" w:rsidR="00364974" w:rsidRDefault="008B700C" w:rsidP="006D0FFE">
      <w:pPr>
        <w:jc w:val="both"/>
        <w:rPr>
          <w:lang w:val="en-US"/>
        </w:rPr>
      </w:pPr>
      <w:r w:rsidRPr="0092717C">
        <w:rPr>
          <w:b/>
          <w:bCs/>
          <w:u w:val="single"/>
          <w:lang w:val="en-US"/>
        </w:rPr>
        <w:t>Intelligence Collection Plan</w:t>
      </w:r>
      <w:r>
        <w:rPr>
          <w:lang w:val="en-US"/>
        </w:rPr>
        <w:t xml:space="preserve"> – </w:t>
      </w:r>
      <w:r w:rsidR="009C7D74">
        <w:rPr>
          <w:lang w:val="en-US"/>
        </w:rPr>
        <w:t>The Plan is used as a guide to assist in compiling the Assessment. Once the four key issues</w:t>
      </w:r>
      <w:r>
        <w:rPr>
          <w:lang w:val="en-US"/>
        </w:rPr>
        <w:t xml:space="preserve"> have been agreed, </w:t>
      </w:r>
      <w:r w:rsidR="009C7D74">
        <w:rPr>
          <w:lang w:val="en-US"/>
        </w:rPr>
        <w:t>it will generate</w:t>
      </w:r>
      <w:r>
        <w:rPr>
          <w:lang w:val="en-US"/>
        </w:rPr>
        <w:t xml:space="preserve"> a number of questions that </w:t>
      </w:r>
      <w:r w:rsidR="009C7D74">
        <w:rPr>
          <w:lang w:val="en-US"/>
        </w:rPr>
        <w:t xml:space="preserve">will </w:t>
      </w:r>
      <w:r>
        <w:rPr>
          <w:lang w:val="en-US"/>
        </w:rPr>
        <w:t xml:space="preserve">need to be answered </w:t>
      </w:r>
      <w:r w:rsidR="009C7D74">
        <w:rPr>
          <w:lang w:val="en-US"/>
        </w:rPr>
        <w:t xml:space="preserve">in order </w:t>
      </w:r>
      <w:r>
        <w:rPr>
          <w:lang w:val="en-US"/>
        </w:rPr>
        <w:t xml:space="preserve">to provide a detailed assessment of the </w:t>
      </w:r>
      <w:r w:rsidR="009C7D74">
        <w:rPr>
          <w:lang w:val="en-US"/>
        </w:rPr>
        <w:t>key</w:t>
      </w:r>
      <w:r>
        <w:rPr>
          <w:lang w:val="en-US"/>
        </w:rPr>
        <w:t xml:space="preserve"> issue. </w:t>
      </w:r>
      <w:r w:rsidR="009C7D74">
        <w:rPr>
          <w:lang w:val="en-US"/>
        </w:rPr>
        <w:t xml:space="preserve">The </w:t>
      </w:r>
      <w:r>
        <w:rPr>
          <w:lang w:val="en-US"/>
        </w:rPr>
        <w:t xml:space="preserve">Plan </w:t>
      </w:r>
      <w:r w:rsidR="009C7D74">
        <w:rPr>
          <w:lang w:val="en-US"/>
        </w:rPr>
        <w:t>is used to identify and record the</w:t>
      </w:r>
      <w:r>
        <w:rPr>
          <w:lang w:val="en-US"/>
        </w:rPr>
        <w:t xml:space="preserve"> sources of data </w:t>
      </w:r>
      <w:r w:rsidR="009C7D74">
        <w:rPr>
          <w:lang w:val="en-US"/>
        </w:rPr>
        <w:t xml:space="preserve">needed </w:t>
      </w:r>
      <w:r>
        <w:rPr>
          <w:lang w:val="en-US"/>
        </w:rPr>
        <w:t>to answer these questions</w:t>
      </w:r>
      <w:r w:rsidR="003F101D">
        <w:rPr>
          <w:lang w:val="en-US"/>
        </w:rPr>
        <w:t xml:space="preserve"> </w:t>
      </w:r>
      <w:r w:rsidR="009C7D74">
        <w:rPr>
          <w:lang w:val="en-US"/>
        </w:rPr>
        <w:t>as well as</w:t>
      </w:r>
      <w:r w:rsidR="003F101D">
        <w:rPr>
          <w:lang w:val="en-US"/>
        </w:rPr>
        <w:t xml:space="preserve"> track</w:t>
      </w:r>
      <w:r w:rsidR="009C7D74">
        <w:rPr>
          <w:lang w:val="en-US"/>
        </w:rPr>
        <w:t>ing the</w:t>
      </w:r>
      <w:r w:rsidR="003F101D">
        <w:rPr>
          <w:lang w:val="en-US"/>
        </w:rPr>
        <w:t xml:space="preserve"> status of obtaining th</w:t>
      </w:r>
      <w:r w:rsidR="00E01BF0">
        <w:rPr>
          <w:lang w:val="en-US"/>
        </w:rPr>
        <w:t>e</w:t>
      </w:r>
      <w:r w:rsidR="003F101D">
        <w:rPr>
          <w:lang w:val="en-US"/>
        </w:rPr>
        <w:t>s</w:t>
      </w:r>
      <w:r w:rsidR="00E01BF0">
        <w:rPr>
          <w:lang w:val="en-US"/>
        </w:rPr>
        <w:t>e</w:t>
      </w:r>
      <w:r w:rsidR="003F101D">
        <w:rPr>
          <w:lang w:val="en-US"/>
        </w:rPr>
        <w:t>.</w:t>
      </w:r>
    </w:p>
    <w:p w14:paraId="37FB8F62" w14:textId="06C9B328" w:rsidR="003F101D" w:rsidRDefault="006200BE" w:rsidP="006D0FFE">
      <w:pPr>
        <w:jc w:val="both"/>
        <w:rPr>
          <w:lang w:val="en-US"/>
        </w:rPr>
      </w:pPr>
      <w:r>
        <w:rPr>
          <w:lang w:val="en-US"/>
        </w:rPr>
        <w:lastRenderedPageBreak/>
        <w:t xml:space="preserve">Through regular reviews of the plan, it may </w:t>
      </w:r>
      <w:r w:rsidR="003F101D">
        <w:rPr>
          <w:lang w:val="en-US"/>
        </w:rPr>
        <w:t xml:space="preserve">indicate that </w:t>
      </w:r>
      <w:r>
        <w:rPr>
          <w:lang w:val="en-US"/>
        </w:rPr>
        <w:t xml:space="preserve">information required is not available, or must be generated (for example through the use of focus groups). In this case, then </w:t>
      </w:r>
      <w:r w:rsidR="00E01BF0">
        <w:rPr>
          <w:lang w:val="en-US"/>
        </w:rPr>
        <w:t>the</w:t>
      </w:r>
      <w:r>
        <w:rPr>
          <w:lang w:val="en-US"/>
        </w:rPr>
        <w:t xml:space="preserve"> particular question becomes a knowledge gap and included in the assessment as a recommendation </w:t>
      </w:r>
      <w:r w:rsidR="00E01BF0">
        <w:rPr>
          <w:lang w:val="en-US"/>
        </w:rPr>
        <w:t>to be resolved.</w:t>
      </w:r>
    </w:p>
    <w:p w14:paraId="6C1C3188" w14:textId="1C250000" w:rsidR="00E01BF0" w:rsidRDefault="00E01BF0" w:rsidP="006D0FFE">
      <w:pPr>
        <w:jc w:val="both"/>
        <w:rPr>
          <w:lang w:val="en-US"/>
        </w:rPr>
      </w:pPr>
      <w:r>
        <w:rPr>
          <w:lang w:val="en-US"/>
        </w:rPr>
        <w:t xml:space="preserve">Use of a Collection Plan will ensure that the Assessment is completed within timescales and that all relevant data </w:t>
      </w:r>
      <w:r w:rsidR="00936F5A">
        <w:rPr>
          <w:lang w:val="en-US"/>
        </w:rPr>
        <w:t>s</w:t>
      </w:r>
      <w:r>
        <w:rPr>
          <w:lang w:val="en-US"/>
        </w:rPr>
        <w:t xml:space="preserve">ources are identified and accessed, ensuring </w:t>
      </w:r>
      <w:r w:rsidR="00986FFB">
        <w:rPr>
          <w:lang w:val="en-US"/>
        </w:rPr>
        <w:t xml:space="preserve">the most comprehensive document possible. </w:t>
      </w:r>
    </w:p>
    <w:p w14:paraId="01F10ADD" w14:textId="77777777" w:rsidR="00986FFB" w:rsidRPr="008B700C" w:rsidRDefault="00986FFB" w:rsidP="006D0FFE">
      <w:pPr>
        <w:jc w:val="both"/>
        <w:rPr>
          <w:lang w:val="en-US"/>
        </w:rPr>
      </w:pPr>
    </w:p>
    <w:p w14:paraId="15A23C9C" w14:textId="428A72C5" w:rsidR="009D7F63" w:rsidRDefault="00364974" w:rsidP="006D0FFE">
      <w:pPr>
        <w:jc w:val="both"/>
        <w:rPr>
          <w:lang w:val="en-US"/>
        </w:rPr>
      </w:pPr>
      <w:r w:rsidRPr="00986FFB">
        <w:rPr>
          <w:b/>
          <w:bCs/>
          <w:u w:val="single"/>
          <w:lang w:val="en-US"/>
        </w:rPr>
        <w:t>Asset Register</w:t>
      </w:r>
      <w:r>
        <w:rPr>
          <w:lang w:val="en-US"/>
        </w:rPr>
        <w:t xml:space="preserve"> </w:t>
      </w:r>
      <w:r w:rsidR="00986FFB">
        <w:rPr>
          <w:lang w:val="en-US"/>
        </w:rPr>
        <w:t xml:space="preserve">– The Register is essential in creating the structure to conduct assessments on an ongoing basis. It will </w:t>
      </w:r>
      <w:r w:rsidR="00072312">
        <w:rPr>
          <w:lang w:val="en-US"/>
        </w:rPr>
        <w:t>collate information from</w:t>
      </w:r>
      <w:r w:rsidR="00986FFB">
        <w:rPr>
          <w:lang w:val="en-US"/>
        </w:rPr>
        <w:t xml:space="preserve"> across the regio</w:t>
      </w:r>
      <w:r w:rsidR="00072312">
        <w:rPr>
          <w:lang w:val="en-US"/>
        </w:rPr>
        <w:t xml:space="preserve">n; recording how the demand from service users and capacity of organisations to respond are </w:t>
      </w:r>
      <w:r w:rsidR="009D7F63">
        <w:rPr>
          <w:lang w:val="en-US"/>
        </w:rPr>
        <w:t xml:space="preserve">measured. It will differ from existing service directories in that it will also record how </w:t>
      </w:r>
      <w:r w:rsidR="00F10CD8">
        <w:rPr>
          <w:lang w:val="en-US"/>
        </w:rPr>
        <w:t xml:space="preserve">the outcome of activities are </w:t>
      </w:r>
      <w:r w:rsidR="009D7F63">
        <w:rPr>
          <w:lang w:val="en-US"/>
        </w:rPr>
        <w:t>measure</w:t>
      </w:r>
      <w:r w:rsidR="00F10CD8">
        <w:rPr>
          <w:lang w:val="en-US"/>
        </w:rPr>
        <w:t>d</w:t>
      </w:r>
      <w:r w:rsidR="009D7F63">
        <w:rPr>
          <w:lang w:val="en-US"/>
        </w:rPr>
        <w:t xml:space="preserve"> and whether this results in further action or referral. </w:t>
      </w:r>
    </w:p>
    <w:p w14:paraId="57E44E36" w14:textId="57442E79" w:rsidR="009D7F63" w:rsidRDefault="00A6598F" w:rsidP="006D0FFE">
      <w:pPr>
        <w:jc w:val="both"/>
        <w:rPr>
          <w:lang w:val="en-US"/>
        </w:rPr>
      </w:pPr>
      <w:r>
        <w:rPr>
          <w:lang w:val="en-US"/>
        </w:rPr>
        <w:t>To ensure that the register is as comprehensive as possible, it is impor</w:t>
      </w:r>
      <w:r w:rsidR="007B2ECC">
        <w:rPr>
          <w:lang w:val="en-US"/>
        </w:rPr>
        <w:t>tant that it includes not just specialist organisations, but also those that support migrants as part of a wider client group. Thi</w:t>
      </w:r>
      <w:r w:rsidR="00F6749C">
        <w:rPr>
          <w:lang w:val="en-US"/>
        </w:rPr>
        <w:t>s</w:t>
      </w:r>
      <w:r w:rsidR="007B2ECC">
        <w:rPr>
          <w:lang w:val="en-US"/>
        </w:rPr>
        <w:t xml:space="preserve"> will also identify opportunities for collaboration </w:t>
      </w:r>
      <w:r w:rsidR="00AA27D9">
        <w:rPr>
          <w:lang w:val="en-US"/>
        </w:rPr>
        <w:t xml:space="preserve">and potential referral pathways for clients. </w:t>
      </w:r>
    </w:p>
    <w:p w14:paraId="4572EF85" w14:textId="2FB24256" w:rsidR="00364974" w:rsidRDefault="00AA27D9" w:rsidP="006D0FFE">
      <w:pPr>
        <w:jc w:val="both"/>
        <w:rPr>
          <w:lang w:val="en-US"/>
        </w:rPr>
      </w:pPr>
      <w:r>
        <w:rPr>
          <w:lang w:val="en-US"/>
        </w:rPr>
        <w:t xml:space="preserve">As the register is compiled, and knowledge of activity increases, it will also identify potential members for sub-groups to address key issues </w:t>
      </w:r>
      <w:r w:rsidR="004A4701">
        <w:rPr>
          <w:lang w:val="en-US"/>
        </w:rPr>
        <w:t xml:space="preserve">as well as those who could provide the data needed to fill knowledge gaps. It will also highlight any </w:t>
      </w:r>
      <w:r w:rsidR="008871BA">
        <w:rPr>
          <w:lang w:val="en-US"/>
        </w:rPr>
        <w:t>needs</w:t>
      </w:r>
      <w:r w:rsidR="004A4701">
        <w:rPr>
          <w:lang w:val="en-US"/>
        </w:rPr>
        <w:t xml:space="preserve"> that may exist in service provision for clients. </w:t>
      </w:r>
    </w:p>
    <w:p w14:paraId="23EA256C" w14:textId="4D6EC1F5" w:rsidR="00787929" w:rsidRDefault="004A4701" w:rsidP="006D0FFE">
      <w:pPr>
        <w:jc w:val="both"/>
        <w:rPr>
          <w:lang w:val="en-US"/>
        </w:rPr>
      </w:pPr>
      <w:r>
        <w:rPr>
          <w:lang w:val="en-US"/>
        </w:rPr>
        <w:t>Although the register could act as a service directory for the region, this is only seen as a by-product of the process. Its primary focus will be to document and understand activity in the sector across the region.</w:t>
      </w:r>
    </w:p>
    <w:p w14:paraId="40B615A0" w14:textId="63F8662A" w:rsidR="004655F6" w:rsidRDefault="004A4701" w:rsidP="006D0FFE">
      <w:pPr>
        <w:jc w:val="both"/>
        <w:rPr>
          <w:lang w:val="en-US"/>
        </w:rPr>
      </w:pPr>
      <w:r>
        <w:rPr>
          <w:lang w:val="en-US"/>
        </w:rPr>
        <w:t xml:space="preserve">This process will embed an intelligence </w:t>
      </w:r>
      <w:r w:rsidR="00F6749C">
        <w:rPr>
          <w:lang w:val="en-US"/>
        </w:rPr>
        <w:t>cycle</w:t>
      </w:r>
      <w:r>
        <w:rPr>
          <w:lang w:val="en-US"/>
        </w:rPr>
        <w:t xml:space="preserve"> within the sector that will enable </w:t>
      </w:r>
      <w:r w:rsidR="00F6749C">
        <w:rPr>
          <w:lang w:val="en-US"/>
        </w:rPr>
        <w:t>us</w:t>
      </w:r>
      <w:r>
        <w:rPr>
          <w:lang w:val="en-US"/>
        </w:rPr>
        <w:t xml:space="preserve"> to identify, analyse and resolve key issues impacting u</w:t>
      </w:r>
      <w:r w:rsidR="004655F6">
        <w:rPr>
          <w:lang w:val="en-US"/>
        </w:rPr>
        <w:t>pon the lives of migrants</w:t>
      </w:r>
      <w:r>
        <w:rPr>
          <w:lang w:val="en-US"/>
        </w:rPr>
        <w:t xml:space="preserve"> in the region. </w:t>
      </w:r>
      <w:r w:rsidR="004655F6">
        <w:rPr>
          <w:lang w:val="en-US"/>
        </w:rPr>
        <w:t xml:space="preserve">It will therefore support the goal of promoting and influencing effective settlement as set out in the Project objectives. </w:t>
      </w:r>
    </w:p>
    <w:p w14:paraId="3A9A89A8" w14:textId="77777777" w:rsidR="00936F5A" w:rsidRDefault="00936F5A" w:rsidP="004655F6">
      <w:pPr>
        <w:jc w:val="both"/>
        <w:rPr>
          <w:b/>
          <w:bCs/>
          <w:u w:val="single"/>
          <w:lang w:val="en-US"/>
        </w:rPr>
      </w:pPr>
    </w:p>
    <w:p w14:paraId="2D8DC5CC" w14:textId="527DAE74" w:rsidR="004655F6" w:rsidRPr="004655F6" w:rsidRDefault="004655F6" w:rsidP="004655F6">
      <w:pPr>
        <w:jc w:val="both"/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D8C98" wp14:editId="015C0950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3002280" cy="2034540"/>
            <wp:effectExtent l="0" t="0" r="26670" b="2286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748A4AD-9B3A-4093-8ED3-14DE93E84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5F6">
        <w:rPr>
          <w:b/>
          <w:bCs/>
          <w:u w:val="single"/>
          <w:lang w:val="en-US"/>
        </w:rPr>
        <w:t>Process Map</w:t>
      </w:r>
    </w:p>
    <w:p w14:paraId="70177E15" w14:textId="15432825" w:rsidR="004655F6" w:rsidRPr="004655F6" w:rsidRDefault="004655F6" w:rsidP="004655F6">
      <w:pPr>
        <w:jc w:val="both"/>
        <w:rPr>
          <w:rFonts w:ascii="Calibri" w:hAnsi="Calibri" w:cs="Calibri"/>
          <w:b/>
          <w:bCs/>
        </w:rPr>
      </w:pPr>
      <w:r w:rsidRPr="004655F6">
        <w:rPr>
          <w:rFonts w:ascii="Calibri" w:hAnsi="Calibri" w:cs="Calibri"/>
          <w:b/>
          <w:bCs/>
        </w:rPr>
        <w:t>PLAN – Key Sector Issues identified, with one priority per thematic area.</w:t>
      </w:r>
    </w:p>
    <w:p w14:paraId="69A3D570" w14:textId="4C67D2FB" w:rsidR="004655F6" w:rsidRPr="004655F6" w:rsidRDefault="004655F6" w:rsidP="004655F6">
      <w:pPr>
        <w:jc w:val="both"/>
        <w:rPr>
          <w:rFonts w:ascii="Calibri" w:hAnsi="Calibri" w:cs="Calibri"/>
          <w:b/>
          <w:bCs/>
        </w:rPr>
      </w:pPr>
      <w:r w:rsidRPr="004655F6">
        <w:rPr>
          <w:rFonts w:ascii="Calibri" w:hAnsi="Calibri" w:cs="Calibri"/>
          <w:b/>
          <w:bCs/>
        </w:rPr>
        <w:t>COLLECTION – Intelligence Collection Plan developed with data sources needed.</w:t>
      </w:r>
    </w:p>
    <w:p w14:paraId="69C67B2E" w14:textId="481DB3F6" w:rsidR="004655F6" w:rsidRPr="004655F6" w:rsidRDefault="004655F6" w:rsidP="004655F6">
      <w:pPr>
        <w:jc w:val="both"/>
        <w:rPr>
          <w:rFonts w:ascii="Calibri" w:hAnsi="Calibri" w:cs="Calibri"/>
          <w:b/>
          <w:bCs/>
        </w:rPr>
      </w:pPr>
      <w:r w:rsidRPr="004655F6">
        <w:rPr>
          <w:rFonts w:ascii="Calibri" w:hAnsi="Calibri" w:cs="Calibri"/>
          <w:b/>
          <w:bCs/>
        </w:rPr>
        <w:t>PROCESS – Asset Register used to identify key stakeholders and develop data.</w:t>
      </w:r>
    </w:p>
    <w:p w14:paraId="39C2EB2C" w14:textId="368DC480" w:rsidR="004655F6" w:rsidRPr="004655F6" w:rsidRDefault="004655F6" w:rsidP="004655F6">
      <w:pPr>
        <w:jc w:val="both"/>
        <w:rPr>
          <w:rFonts w:ascii="Calibri" w:hAnsi="Calibri" w:cs="Calibri"/>
          <w:b/>
          <w:bCs/>
        </w:rPr>
      </w:pPr>
      <w:r w:rsidRPr="004655F6">
        <w:rPr>
          <w:rFonts w:ascii="Calibri" w:hAnsi="Calibri" w:cs="Calibri"/>
          <w:b/>
          <w:bCs/>
        </w:rPr>
        <w:t>ANALYSE – Sector Assessment produced.</w:t>
      </w:r>
    </w:p>
    <w:p w14:paraId="2A9C4DEB" w14:textId="4B743CE9" w:rsidR="004655F6" w:rsidRDefault="004655F6" w:rsidP="004655F6">
      <w:pPr>
        <w:jc w:val="both"/>
        <w:rPr>
          <w:rFonts w:ascii="Calibri" w:hAnsi="Calibri" w:cs="Calibri"/>
          <w:b/>
          <w:bCs/>
        </w:rPr>
      </w:pPr>
      <w:r w:rsidRPr="004655F6">
        <w:rPr>
          <w:rFonts w:ascii="Calibri" w:hAnsi="Calibri" w:cs="Calibri"/>
          <w:b/>
          <w:bCs/>
        </w:rPr>
        <w:t>EVALUATE – Project Board commissions sub-groups and actions to resolve Key Issues.</w:t>
      </w:r>
    </w:p>
    <w:p w14:paraId="4551A6D0" w14:textId="26AF4A73" w:rsidR="00D356D5" w:rsidRDefault="00D356D5" w:rsidP="004655F6">
      <w:pPr>
        <w:jc w:val="both"/>
        <w:rPr>
          <w:rFonts w:ascii="Calibri" w:hAnsi="Calibri" w:cs="Calibri"/>
          <w:b/>
          <w:bCs/>
        </w:rPr>
      </w:pPr>
    </w:p>
    <w:p w14:paraId="367A84BD" w14:textId="559FD2FD" w:rsidR="004655F6" w:rsidRPr="00936F5A" w:rsidRDefault="00D356D5" w:rsidP="006D0FFE">
      <w:pPr>
        <w:jc w:val="both"/>
        <w:rPr>
          <w:rFonts w:ascii="Calibri" w:hAnsi="Calibri" w:cs="Calibri"/>
        </w:rPr>
      </w:pPr>
      <w:r w:rsidRPr="00CC3128">
        <w:rPr>
          <w:rFonts w:ascii="Calibri" w:hAnsi="Calibri" w:cs="Calibri"/>
        </w:rPr>
        <w:t xml:space="preserve">For this process to be effective for the sector, it </w:t>
      </w:r>
      <w:r w:rsidR="00CC3128" w:rsidRPr="00CC3128">
        <w:rPr>
          <w:rFonts w:ascii="Calibri" w:hAnsi="Calibri" w:cs="Calibri"/>
        </w:rPr>
        <w:t>will</w:t>
      </w:r>
      <w:r w:rsidRPr="00CC3128">
        <w:rPr>
          <w:rFonts w:ascii="Calibri" w:hAnsi="Calibri" w:cs="Calibri"/>
        </w:rPr>
        <w:t xml:space="preserve"> run on a rolling twelve month cycle so that work can be evaluated, new </w:t>
      </w:r>
      <w:r w:rsidR="00CC3128" w:rsidRPr="00CC3128">
        <w:rPr>
          <w:rFonts w:ascii="Calibri" w:hAnsi="Calibri" w:cs="Calibri"/>
        </w:rPr>
        <w:t>priorities</w:t>
      </w:r>
      <w:r w:rsidRPr="00CC3128">
        <w:rPr>
          <w:rFonts w:ascii="Calibri" w:hAnsi="Calibri" w:cs="Calibri"/>
        </w:rPr>
        <w:t xml:space="preserve"> identif</w:t>
      </w:r>
      <w:r w:rsidR="00CC3128" w:rsidRPr="00CC3128">
        <w:rPr>
          <w:rFonts w:ascii="Calibri" w:hAnsi="Calibri" w:cs="Calibri"/>
        </w:rPr>
        <w:t>i</w:t>
      </w:r>
      <w:r w:rsidRPr="00CC3128">
        <w:rPr>
          <w:rFonts w:ascii="Calibri" w:hAnsi="Calibri" w:cs="Calibri"/>
        </w:rPr>
        <w:t xml:space="preserve">ed </w:t>
      </w:r>
      <w:r w:rsidR="00CC3128" w:rsidRPr="00CC3128">
        <w:rPr>
          <w:rFonts w:ascii="Calibri" w:hAnsi="Calibri" w:cs="Calibri"/>
        </w:rPr>
        <w:t>and plans developed.</w:t>
      </w:r>
    </w:p>
    <w:sectPr w:rsidR="004655F6" w:rsidRPr="00936F5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9FF9" w14:textId="77777777" w:rsidR="0085062E" w:rsidRDefault="0085062E" w:rsidP="0085062E">
      <w:pPr>
        <w:spacing w:after="0" w:line="240" w:lineRule="auto"/>
      </w:pPr>
      <w:r>
        <w:separator/>
      </w:r>
    </w:p>
  </w:endnote>
  <w:endnote w:type="continuationSeparator" w:id="0">
    <w:p w14:paraId="08D07056" w14:textId="77777777" w:rsidR="0085062E" w:rsidRDefault="0085062E" w:rsidP="0085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276D" w14:textId="77777777" w:rsidR="0085062E" w:rsidRDefault="0085062E" w:rsidP="0085062E">
      <w:pPr>
        <w:spacing w:after="0" w:line="240" w:lineRule="auto"/>
      </w:pPr>
      <w:r>
        <w:separator/>
      </w:r>
    </w:p>
  </w:footnote>
  <w:footnote w:type="continuationSeparator" w:id="0">
    <w:p w14:paraId="0EF9FC82" w14:textId="77777777" w:rsidR="0085062E" w:rsidRDefault="0085062E" w:rsidP="0085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E3B8" w14:textId="1DB14469" w:rsidR="0085062E" w:rsidRDefault="0085062E">
    <w:pPr>
      <w:pStyle w:val="Header"/>
    </w:pPr>
    <w:r w:rsidRPr="00F9768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9A359B" wp14:editId="468B69FA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1661795" cy="365125"/>
          <wp:effectExtent l="0" t="0" r="0" b="0"/>
          <wp:wrapTight wrapText="bothSides">
            <wp:wrapPolygon edited="0">
              <wp:start x="0" y="0"/>
              <wp:lineTo x="0" y="20285"/>
              <wp:lineTo x="21295" y="20285"/>
              <wp:lineTo x="21295" y="0"/>
              <wp:lineTo x="0" y="0"/>
            </wp:wrapPolygon>
          </wp:wrapTight>
          <wp:docPr id="4" name="Picture 4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69E"/>
    <w:multiLevelType w:val="hybridMultilevel"/>
    <w:tmpl w:val="1B968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FE"/>
    <w:rsid w:val="00072312"/>
    <w:rsid w:val="001B1379"/>
    <w:rsid w:val="00200C23"/>
    <w:rsid w:val="00216668"/>
    <w:rsid w:val="00232EC9"/>
    <w:rsid w:val="00262517"/>
    <w:rsid w:val="00283F6C"/>
    <w:rsid w:val="002A1D4F"/>
    <w:rsid w:val="00364974"/>
    <w:rsid w:val="003F101D"/>
    <w:rsid w:val="004655F6"/>
    <w:rsid w:val="004A4701"/>
    <w:rsid w:val="005458AF"/>
    <w:rsid w:val="00593819"/>
    <w:rsid w:val="006200BE"/>
    <w:rsid w:val="00637057"/>
    <w:rsid w:val="006A1F41"/>
    <w:rsid w:val="006D0FFE"/>
    <w:rsid w:val="00705465"/>
    <w:rsid w:val="00787929"/>
    <w:rsid w:val="007B2ECC"/>
    <w:rsid w:val="0085062E"/>
    <w:rsid w:val="008871BA"/>
    <w:rsid w:val="008B162F"/>
    <w:rsid w:val="008B700C"/>
    <w:rsid w:val="008C577F"/>
    <w:rsid w:val="0092717C"/>
    <w:rsid w:val="00936F5A"/>
    <w:rsid w:val="00986FFB"/>
    <w:rsid w:val="0099309F"/>
    <w:rsid w:val="009A74BD"/>
    <w:rsid w:val="009C7D74"/>
    <w:rsid w:val="009D7F63"/>
    <w:rsid w:val="00A6598F"/>
    <w:rsid w:val="00AA27D9"/>
    <w:rsid w:val="00B0028A"/>
    <w:rsid w:val="00C13BBD"/>
    <w:rsid w:val="00C57A5B"/>
    <w:rsid w:val="00CC3128"/>
    <w:rsid w:val="00D1786E"/>
    <w:rsid w:val="00D356D5"/>
    <w:rsid w:val="00E01BF0"/>
    <w:rsid w:val="00EF061B"/>
    <w:rsid w:val="00F10CD8"/>
    <w:rsid w:val="00F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4E9D"/>
  <w15:chartTrackingRefBased/>
  <w15:docId w15:val="{A61803F9-38B9-42DF-887F-3CC2DB33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2E"/>
  </w:style>
  <w:style w:type="paragraph" w:styleId="Footer">
    <w:name w:val="footer"/>
    <w:basedOn w:val="Normal"/>
    <w:link w:val="FooterChar"/>
    <w:uiPriority w:val="99"/>
    <w:unhideWhenUsed/>
    <w:rsid w:val="00850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9BAB1-F403-4B9C-93A4-A76897740573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FE72F17-2F62-4228-B91A-93466F6A79C1}">
      <dgm:prSet phldrT="[Text]"/>
      <dgm:spPr/>
      <dgm:t>
        <a:bodyPr/>
        <a:lstStyle/>
        <a:p>
          <a:r>
            <a:rPr lang="en-US" dirty="0"/>
            <a:t>Plan</a:t>
          </a:r>
          <a:endParaRPr lang="en-GB" dirty="0"/>
        </a:p>
      </dgm:t>
    </dgm:pt>
    <dgm:pt modelId="{14C10036-E47A-424D-85A2-C31EC1C85192}" type="parTrans" cxnId="{746503F5-1AF0-4D7A-B88A-9920B8BE6589}">
      <dgm:prSet/>
      <dgm:spPr/>
      <dgm:t>
        <a:bodyPr/>
        <a:lstStyle/>
        <a:p>
          <a:endParaRPr lang="en-GB"/>
        </a:p>
      </dgm:t>
    </dgm:pt>
    <dgm:pt modelId="{BB5617E1-909B-497C-9D4F-92C3A909CB59}" type="sibTrans" cxnId="{746503F5-1AF0-4D7A-B88A-9920B8BE6589}">
      <dgm:prSet/>
      <dgm:spPr/>
      <dgm:t>
        <a:bodyPr/>
        <a:lstStyle/>
        <a:p>
          <a:endParaRPr lang="en-GB"/>
        </a:p>
      </dgm:t>
    </dgm:pt>
    <dgm:pt modelId="{6824A28B-3D7E-47CE-8580-17FCD9E998D6}">
      <dgm:prSet phldrT="[Text]"/>
      <dgm:spPr/>
      <dgm:t>
        <a:bodyPr/>
        <a:lstStyle/>
        <a:p>
          <a:r>
            <a:rPr lang="en-US" dirty="0"/>
            <a:t>Collection</a:t>
          </a:r>
          <a:endParaRPr lang="en-GB" dirty="0"/>
        </a:p>
      </dgm:t>
    </dgm:pt>
    <dgm:pt modelId="{A166710E-6DD5-474E-9F6B-D1B147B5CB75}" type="parTrans" cxnId="{201F9407-ECAE-4F7C-B02F-6CF6B1EDCA85}">
      <dgm:prSet/>
      <dgm:spPr/>
      <dgm:t>
        <a:bodyPr/>
        <a:lstStyle/>
        <a:p>
          <a:endParaRPr lang="en-GB"/>
        </a:p>
      </dgm:t>
    </dgm:pt>
    <dgm:pt modelId="{F59DA83D-D518-4A0F-B4A0-A05D6E05026F}" type="sibTrans" cxnId="{201F9407-ECAE-4F7C-B02F-6CF6B1EDCA85}">
      <dgm:prSet/>
      <dgm:spPr/>
      <dgm:t>
        <a:bodyPr/>
        <a:lstStyle/>
        <a:p>
          <a:endParaRPr lang="en-GB"/>
        </a:p>
      </dgm:t>
    </dgm:pt>
    <dgm:pt modelId="{DC9889F1-FE59-4F85-A71B-BB77B97D7A9D}">
      <dgm:prSet phldrT="[Text]"/>
      <dgm:spPr/>
      <dgm:t>
        <a:bodyPr/>
        <a:lstStyle/>
        <a:p>
          <a:r>
            <a:rPr lang="en-US" dirty="0"/>
            <a:t>Process</a:t>
          </a:r>
          <a:endParaRPr lang="en-GB" dirty="0"/>
        </a:p>
      </dgm:t>
    </dgm:pt>
    <dgm:pt modelId="{EDC08CCA-19E7-4B94-A542-C7C8D8C8C68F}" type="parTrans" cxnId="{48218F07-B670-4DD8-8060-1C9785E0E1D5}">
      <dgm:prSet/>
      <dgm:spPr/>
      <dgm:t>
        <a:bodyPr/>
        <a:lstStyle/>
        <a:p>
          <a:endParaRPr lang="en-GB"/>
        </a:p>
      </dgm:t>
    </dgm:pt>
    <dgm:pt modelId="{7CDDBC5C-3D98-417F-9545-5CA2DBAF39CB}" type="sibTrans" cxnId="{48218F07-B670-4DD8-8060-1C9785E0E1D5}">
      <dgm:prSet/>
      <dgm:spPr/>
      <dgm:t>
        <a:bodyPr/>
        <a:lstStyle/>
        <a:p>
          <a:endParaRPr lang="en-GB"/>
        </a:p>
      </dgm:t>
    </dgm:pt>
    <dgm:pt modelId="{EC0CAC0E-6E38-44DA-A594-79A6AAF1F116}">
      <dgm:prSet phldrT="[Text]"/>
      <dgm:spPr/>
      <dgm:t>
        <a:bodyPr/>
        <a:lstStyle/>
        <a:p>
          <a:r>
            <a:rPr lang="en-US" dirty="0" err="1"/>
            <a:t>Analyse</a:t>
          </a:r>
          <a:endParaRPr lang="en-GB" dirty="0"/>
        </a:p>
      </dgm:t>
    </dgm:pt>
    <dgm:pt modelId="{809FDBFA-7DA9-4F97-A001-7CFCC11E40C1}" type="parTrans" cxnId="{513E8424-2E4B-4EA1-AFCB-9C75769526A4}">
      <dgm:prSet/>
      <dgm:spPr/>
      <dgm:t>
        <a:bodyPr/>
        <a:lstStyle/>
        <a:p>
          <a:endParaRPr lang="en-GB"/>
        </a:p>
      </dgm:t>
    </dgm:pt>
    <dgm:pt modelId="{5B932230-D717-40D7-B0B5-A7E992A9D7C4}" type="sibTrans" cxnId="{513E8424-2E4B-4EA1-AFCB-9C75769526A4}">
      <dgm:prSet/>
      <dgm:spPr/>
      <dgm:t>
        <a:bodyPr/>
        <a:lstStyle/>
        <a:p>
          <a:endParaRPr lang="en-GB"/>
        </a:p>
      </dgm:t>
    </dgm:pt>
    <dgm:pt modelId="{DCD4D28B-F60C-49A2-827B-D05DF6519A9E}">
      <dgm:prSet phldrT="[Text]"/>
      <dgm:spPr/>
      <dgm:t>
        <a:bodyPr/>
        <a:lstStyle/>
        <a:p>
          <a:r>
            <a:rPr lang="en-US" dirty="0"/>
            <a:t>Evaluate</a:t>
          </a:r>
          <a:endParaRPr lang="en-GB" dirty="0"/>
        </a:p>
      </dgm:t>
    </dgm:pt>
    <dgm:pt modelId="{3A0471FF-96AD-4656-807C-0DF666D6D437}" type="parTrans" cxnId="{B201A039-D336-43EC-B009-9990D8ADD461}">
      <dgm:prSet/>
      <dgm:spPr/>
      <dgm:t>
        <a:bodyPr/>
        <a:lstStyle/>
        <a:p>
          <a:endParaRPr lang="en-GB"/>
        </a:p>
      </dgm:t>
    </dgm:pt>
    <dgm:pt modelId="{0C01E45C-08BC-4F86-8FF1-435D71B74539}" type="sibTrans" cxnId="{B201A039-D336-43EC-B009-9990D8ADD461}">
      <dgm:prSet/>
      <dgm:spPr/>
      <dgm:t>
        <a:bodyPr/>
        <a:lstStyle/>
        <a:p>
          <a:endParaRPr lang="en-GB"/>
        </a:p>
      </dgm:t>
    </dgm:pt>
    <dgm:pt modelId="{E39D306F-8461-4A79-A138-A0B43AF4021A}" type="pres">
      <dgm:prSet presAssocID="{E219BAB1-F403-4B9C-93A4-A76897740573}" presName="Name0" presStyleCnt="0">
        <dgm:presLayoutVars>
          <dgm:dir/>
          <dgm:resizeHandles val="exact"/>
        </dgm:presLayoutVars>
      </dgm:prSet>
      <dgm:spPr/>
    </dgm:pt>
    <dgm:pt modelId="{C6A11A54-CB7E-4519-A173-59612E9C0DC1}" type="pres">
      <dgm:prSet presAssocID="{E219BAB1-F403-4B9C-93A4-A76897740573}" presName="cycle" presStyleCnt="0"/>
      <dgm:spPr/>
    </dgm:pt>
    <dgm:pt modelId="{DA2578BA-513E-4976-983C-19C3589CBB97}" type="pres">
      <dgm:prSet presAssocID="{CFE72F17-2F62-4228-B91A-93466F6A79C1}" presName="nodeFirstNode" presStyleLbl="node1" presStyleIdx="0" presStyleCnt="5">
        <dgm:presLayoutVars>
          <dgm:bulletEnabled val="1"/>
        </dgm:presLayoutVars>
      </dgm:prSet>
      <dgm:spPr/>
    </dgm:pt>
    <dgm:pt modelId="{B5B2F1F2-5BFE-4D58-9D68-788C4525A990}" type="pres">
      <dgm:prSet presAssocID="{BB5617E1-909B-497C-9D4F-92C3A909CB59}" presName="sibTransFirstNode" presStyleLbl="bgShp" presStyleIdx="0" presStyleCnt="1"/>
      <dgm:spPr/>
    </dgm:pt>
    <dgm:pt modelId="{40F090E1-8C36-4EB4-8842-8EC2A63CE723}" type="pres">
      <dgm:prSet presAssocID="{6824A28B-3D7E-47CE-8580-17FCD9E998D6}" presName="nodeFollowingNodes" presStyleLbl="node1" presStyleIdx="1" presStyleCnt="5">
        <dgm:presLayoutVars>
          <dgm:bulletEnabled val="1"/>
        </dgm:presLayoutVars>
      </dgm:prSet>
      <dgm:spPr/>
    </dgm:pt>
    <dgm:pt modelId="{DF215E7B-4C91-4C00-8792-2A95D2991D5F}" type="pres">
      <dgm:prSet presAssocID="{DC9889F1-FE59-4F85-A71B-BB77B97D7A9D}" presName="nodeFollowingNodes" presStyleLbl="node1" presStyleIdx="2" presStyleCnt="5">
        <dgm:presLayoutVars>
          <dgm:bulletEnabled val="1"/>
        </dgm:presLayoutVars>
      </dgm:prSet>
      <dgm:spPr/>
    </dgm:pt>
    <dgm:pt modelId="{B7CD3BAD-CBD1-46F1-9B45-1F08484DB51A}" type="pres">
      <dgm:prSet presAssocID="{EC0CAC0E-6E38-44DA-A594-79A6AAF1F116}" presName="nodeFollowingNodes" presStyleLbl="node1" presStyleIdx="3" presStyleCnt="5">
        <dgm:presLayoutVars>
          <dgm:bulletEnabled val="1"/>
        </dgm:presLayoutVars>
      </dgm:prSet>
      <dgm:spPr/>
    </dgm:pt>
    <dgm:pt modelId="{3C08FE27-298C-430C-9DB3-BD5CB00DA228}" type="pres">
      <dgm:prSet presAssocID="{DCD4D28B-F60C-49A2-827B-D05DF6519A9E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48218F07-B670-4DD8-8060-1C9785E0E1D5}" srcId="{E219BAB1-F403-4B9C-93A4-A76897740573}" destId="{DC9889F1-FE59-4F85-A71B-BB77B97D7A9D}" srcOrd="2" destOrd="0" parTransId="{EDC08CCA-19E7-4B94-A542-C7C8D8C8C68F}" sibTransId="{7CDDBC5C-3D98-417F-9545-5CA2DBAF39CB}"/>
    <dgm:cxn modelId="{201F9407-ECAE-4F7C-B02F-6CF6B1EDCA85}" srcId="{E219BAB1-F403-4B9C-93A4-A76897740573}" destId="{6824A28B-3D7E-47CE-8580-17FCD9E998D6}" srcOrd="1" destOrd="0" parTransId="{A166710E-6DD5-474E-9F6B-D1B147B5CB75}" sibTransId="{F59DA83D-D518-4A0F-B4A0-A05D6E05026F}"/>
    <dgm:cxn modelId="{8BDE790B-0B97-4560-895E-C3720C2AEF73}" type="presOf" srcId="{DCD4D28B-F60C-49A2-827B-D05DF6519A9E}" destId="{3C08FE27-298C-430C-9DB3-BD5CB00DA228}" srcOrd="0" destOrd="0" presId="urn:microsoft.com/office/officeart/2005/8/layout/cycle3"/>
    <dgm:cxn modelId="{51D7491C-B04B-4342-800B-C16A5F45CF53}" type="presOf" srcId="{BB5617E1-909B-497C-9D4F-92C3A909CB59}" destId="{B5B2F1F2-5BFE-4D58-9D68-788C4525A990}" srcOrd="0" destOrd="0" presId="urn:microsoft.com/office/officeart/2005/8/layout/cycle3"/>
    <dgm:cxn modelId="{513E8424-2E4B-4EA1-AFCB-9C75769526A4}" srcId="{E219BAB1-F403-4B9C-93A4-A76897740573}" destId="{EC0CAC0E-6E38-44DA-A594-79A6AAF1F116}" srcOrd="3" destOrd="0" parTransId="{809FDBFA-7DA9-4F97-A001-7CFCC11E40C1}" sibTransId="{5B932230-D717-40D7-B0B5-A7E992A9D7C4}"/>
    <dgm:cxn modelId="{B201A039-D336-43EC-B009-9990D8ADD461}" srcId="{E219BAB1-F403-4B9C-93A4-A76897740573}" destId="{DCD4D28B-F60C-49A2-827B-D05DF6519A9E}" srcOrd="4" destOrd="0" parTransId="{3A0471FF-96AD-4656-807C-0DF666D6D437}" sibTransId="{0C01E45C-08BC-4F86-8FF1-435D71B74539}"/>
    <dgm:cxn modelId="{88DA4B6D-F6DD-48A0-A9E4-1C7EA95D2A49}" type="presOf" srcId="{EC0CAC0E-6E38-44DA-A594-79A6AAF1F116}" destId="{B7CD3BAD-CBD1-46F1-9B45-1F08484DB51A}" srcOrd="0" destOrd="0" presId="urn:microsoft.com/office/officeart/2005/8/layout/cycle3"/>
    <dgm:cxn modelId="{D3F2978A-F93C-4F18-91A9-C98C10DFFE5D}" type="presOf" srcId="{E219BAB1-F403-4B9C-93A4-A76897740573}" destId="{E39D306F-8461-4A79-A138-A0B43AF4021A}" srcOrd="0" destOrd="0" presId="urn:microsoft.com/office/officeart/2005/8/layout/cycle3"/>
    <dgm:cxn modelId="{E6B152A6-813B-4F49-9226-0CD6F518C525}" type="presOf" srcId="{DC9889F1-FE59-4F85-A71B-BB77B97D7A9D}" destId="{DF215E7B-4C91-4C00-8792-2A95D2991D5F}" srcOrd="0" destOrd="0" presId="urn:microsoft.com/office/officeart/2005/8/layout/cycle3"/>
    <dgm:cxn modelId="{0629E9C9-4D79-48F4-8FB0-B761637A0909}" type="presOf" srcId="{6824A28B-3D7E-47CE-8580-17FCD9E998D6}" destId="{40F090E1-8C36-4EB4-8842-8EC2A63CE723}" srcOrd="0" destOrd="0" presId="urn:microsoft.com/office/officeart/2005/8/layout/cycle3"/>
    <dgm:cxn modelId="{320F98CA-BA45-4720-B81D-47D0DB18FEDF}" type="presOf" srcId="{CFE72F17-2F62-4228-B91A-93466F6A79C1}" destId="{DA2578BA-513E-4976-983C-19C3589CBB97}" srcOrd="0" destOrd="0" presId="urn:microsoft.com/office/officeart/2005/8/layout/cycle3"/>
    <dgm:cxn modelId="{746503F5-1AF0-4D7A-B88A-9920B8BE6589}" srcId="{E219BAB1-F403-4B9C-93A4-A76897740573}" destId="{CFE72F17-2F62-4228-B91A-93466F6A79C1}" srcOrd="0" destOrd="0" parTransId="{14C10036-E47A-424D-85A2-C31EC1C85192}" sibTransId="{BB5617E1-909B-497C-9D4F-92C3A909CB59}"/>
    <dgm:cxn modelId="{690AC534-8607-4348-878B-8E0E7FC97B0D}" type="presParOf" srcId="{E39D306F-8461-4A79-A138-A0B43AF4021A}" destId="{C6A11A54-CB7E-4519-A173-59612E9C0DC1}" srcOrd="0" destOrd="0" presId="urn:microsoft.com/office/officeart/2005/8/layout/cycle3"/>
    <dgm:cxn modelId="{FA7FC793-92F4-40B5-95AB-96A07FD2A478}" type="presParOf" srcId="{C6A11A54-CB7E-4519-A173-59612E9C0DC1}" destId="{DA2578BA-513E-4976-983C-19C3589CBB97}" srcOrd="0" destOrd="0" presId="urn:microsoft.com/office/officeart/2005/8/layout/cycle3"/>
    <dgm:cxn modelId="{87D14C85-9D77-4132-9235-90F7B8CCB15F}" type="presParOf" srcId="{C6A11A54-CB7E-4519-A173-59612E9C0DC1}" destId="{B5B2F1F2-5BFE-4D58-9D68-788C4525A990}" srcOrd="1" destOrd="0" presId="urn:microsoft.com/office/officeart/2005/8/layout/cycle3"/>
    <dgm:cxn modelId="{F7C03002-1CCF-4FB3-9000-CCD15659145B}" type="presParOf" srcId="{C6A11A54-CB7E-4519-A173-59612E9C0DC1}" destId="{40F090E1-8C36-4EB4-8842-8EC2A63CE723}" srcOrd="2" destOrd="0" presId="urn:microsoft.com/office/officeart/2005/8/layout/cycle3"/>
    <dgm:cxn modelId="{5DA19ACB-3684-43A6-B756-22F4B43613F4}" type="presParOf" srcId="{C6A11A54-CB7E-4519-A173-59612E9C0DC1}" destId="{DF215E7B-4C91-4C00-8792-2A95D2991D5F}" srcOrd="3" destOrd="0" presId="urn:microsoft.com/office/officeart/2005/8/layout/cycle3"/>
    <dgm:cxn modelId="{875805FC-561E-409B-A9A1-259A6D78A0EF}" type="presParOf" srcId="{C6A11A54-CB7E-4519-A173-59612E9C0DC1}" destId="{B7CD3BAD-CBD1-46F1-9B45-1F08484DB51A}" srcOrd="4" destOrd="0" presId="urn:microsoft.com/office/officeart/2005/8/layout/cycle3"/>
    <dgm:cxn modelId="{442856C7-0FDB-4CC7-99F4-4D0755207D2F}" type="presParOf" srcId="{C6A11A54-CB7E-4519-A173-59612E9C0DC1}" destId="{3C08FE27-298C-430C-9DB3-BD5CB00DA228}" srcOrd="5" destOrd="0" presId="urn:microsoft.com/office/officeart/2005/8/layout/cycle3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B2F1F2-5BFE-4D58-9D68-788C4525A990}">
      <dsp:nvSpPr>
        <dsp:cNvPr id="0" name=""/>
        <dsp:cNvSpPr/>
      </dsp:nvSpPr>
      <dsp:spPr>
        <a:xfrm>
          <a:off x="467677" y="-8753"/>
          <a:ext cx="2066925" cy="2066925"/>
        </a:xfrm>
        <a:prstGeom prst="circularArrow">
          <a:avLst>
            <a:gd name="adj1" fmla="val 5544"/>
            <a:gd name="adj2" fmla="val 330680"/>
            <a:gd name="adj3" fmla="val 13987599"/>
            <a:gd name="adj4" fmla="val 17258443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2578BA-513E-4976-983C-19C3589CBB97}">
      <dsp:nvSpPr>
        <dsp:cNvPr id="0" name=""/>
        <dsp:cNvSpPr/>
      </dsp:nvSpPr>
      <dsp:spPr>
        <a:xfrm>
          <a:off x="1062085" y="492"/>
          <a:ext cx="878108" cy="439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Plan</a:t>
          </a:r>
          <a:endParaRPr lang="en-GB" sz="1400" kern="1200" dirty="0"/>
        </a:p>
      </dsp:txBody>
      <dsp:txXfrm>
        <a:off x="1083518" y="21925"/>
        <a:ext cx="835242" cy="396188"/>
      </dsp:txXfrm>
    </dsp:sp>
    <dsp:sp modelId="{40F090E1-8C36-4EB4-8842-8EC2A63CE723}">
      <dsp:nvSpPr>
        <dsp:cNvPr id="0" name=""/>
        <dsp:cNvSpPr/>
      </dsp:nvSpPr>
      <dsp:spPr>
        <a:xfrm>
          <a:off x="1900364" y="609537"/>
          <a:ext cx="878108" cy="439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Collection</a:t>
          </a:r>
          <a:endParaRPr lang="en-GB" sz="1400" kern="1200" dirty="0"/>
        </a:p>
      </dsp:txBody>
      <dsp:txXfrm>
        <a:off x="1921797" y="630970"/>
        <a:ext cx="835242" cy="396188"/>
      </dsp:txXfrm>
    </dsp:sp>
    <dsp:sp modelId="{DF215E7B-4C91-4C00-8792-2A95D2991D5F}">
      <dsp:nvSpPr>
        <dsp:cNvPr id="0" name=""/>
        <dsp:cNvSpPr/>
      </dsp:nvSpPr>
      <dsp:spPr>
        <a:xfrm>
          <a:off x="1580170" y="1594992"/>
          <a:ext cx="878108" cy="439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Process</a:t>
          </a:r>
          <a:endParaRPr lang="en-GB" sz="1400" kern="1200" dirty="0"/>
        </a:p>
      </dsp:txBody>
      <dsp:txXfrm>
        <a:off x="1601603" y="1616425"/>
        <a:ext cx="835242" cy="396188"/>
      </dsp:txXfrm>
    </dsp:sp>
    <dsp:sp modelId="{B7CD3BAD-CBD1-46F1-9B45-1F08484DB51A}">
      <dsp:nvSpPr>
        <dsp:cNvPr id="0" name=""/>
        <dsp:cNvSpPr/>
      </dsp:nvSpPr>
      <dsp:spPr>
        <a:xfrm>
          <a:off x="544001" y="1594992"/>
          <a:ext cx="878108" cy="439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 err="1"/>
            <a:t>Analyse</a:t>
          </a:r>
          <a:endParaRPr lang="en-GB" sz="1400" kern="1200" dirty="0"/>
        </a:p>
      </dsp:txBody>
      <dsp:txXfrm>
        <a:off x="565434" y="1616425"/>
        <a:ext cx="835242" cy="396188"/>
      </dsp:txXfrm>
    </dsp:sp>
    <dsp:sp modelId="{3C08FE27-298C-430C-9DB3-BD5CB00DA228}">
      <dsp:nvSpPr>
        <dsp:cNvPr id="0" name=""/>
        <dsp:cNvSpPr/>
      </dsp:nvSpPr>
      <dsp:spPr>
        <a:xfrm>
          <a:off x="223807" y="609537"/>
          <a:ext cx="878108" cy="4390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Evaluate</a:t>
          </a:r>
          <a:endParaRPr lang="en-GB" sz="1400" kern="1200" dirty="0"/>
        </a:p>
      </dsp:txBody>
      <dsp:txXfrm>
        <a:off x="245240" y="630970"/>
        <a:ext cx="835242" cy="396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Hoole</dc:creator>
  <cp:keywords/>
  <dc:description/>
  <cp:lastModifiedBy>Andrew Hoole</cp:lastModifiedBy>
  <cp:revision>16</cp:revision>
  <dcterms:created xsi:type="dcterms:W3CDTF">2021-02-16T11:10:00Z</dcterms:created>
  <dcterms:modified xsi:type="dcterms:W3CDTF">2021-02-19T11:14:00Z</dcterms:modified>
</cp:coreProperties>
</file>