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1277" w14:paraId="0DC76F4C" w14:textId="77777777" w:rsidTr="004D2098">
        <w:tc>
          <w:tcPr>
            <w:tcW w:w="9016" w:type="dxa"/>
            <w:gridSpan w:val="2"/>
          </w:tcPr>
          <w:p w14:paraId="7D7DB04C" w14:textId="776CAD82" w:rsidR="00091277" w:rsidRDefault="00941971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West Midlands Regional Migration Network:</w:t>
            </w:r>
          </w:p>
          <w:p w14:paraId="57C3798A" w14:textId="63EA9268" w:rsidR="00941971" w:rsidRPr="00091277" w:rsidRDefault="006A57CB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Rights Thematic</w:t>
            </w:r>
            <w:r w:rsidR="00941971">
              <w:rPr>
                <w:rFonts w:ascii="Arial" w:eastAsia="Calibri" w:hAnsi="Arial" w:cs="Arial"/>
                <w:b/>
                <w:color w:val="000000"/>
                <w:lang w:val="en-US"/>
              </w:rPr>
              <w:t xml:space="preserve"> Group</w:t>
            </w:r>
          </w:p>
          <w:p w14:paraId="59E14786" w14:textId="77777777" w:rsidR="00091277" w:rsidRPr="00091277" w:rsidRDefault="00091277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 w:rsidRPr="00091277">
              <w:rPr>
                <w:rFonts w:ascii="Arial" w:eastAsia="Calibri" w:hAnsi="Arial" w:cs="Arial"/>
                <w:b/>
                <w:color w:val="000000"/>
                <w:lang w:val="en-US"/>
              </w:rPr>
              <w:t>Terms of Reference</w:t>
            </w:r>
          </w:p>
          <w:p w14:paraId="538E1BA5" w14:textId="77777777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1277" w14:paraId="51DEBB5E" w14:textId="77777777" w:rsidTr="00091277">
        <w:tc>
          <w:tcPr>
            <w:tcW w:w="2689" w:type="dxa"/>
          </w:tcPr>
          <w:p w14:paraId="37056EBB" w14:textId="1CF27CD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6327" w:type="dxa"/>
          </w:tcPr>
          <w:p w14:paraId="6675D7A5" w14:textId="6FF415BA" w:rsidR="00091277" w:rsidRPr="006A57CB" w:rsidRDefault="00091277" w:rsidP="00091277">
            <w:pPr>
              <w:rPr>
                <w:shd w:val="clear" w:color="auto" w:fill="FFFFFF"/>
              </w:rPr>
            </w:pPr>
            <w:r w:rsidRPr="0073727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To 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coordinate activity around </w:t>
            </w:r>
            <w:r w:rsidR="006A57C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the rights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</w:t>
            </w:r>
            <w:r w:rsidR="00A317C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ematic area to support the integration of </w:t>
            </w:r>
            <w:r w:rsidR="00A943E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migrants in the region.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Provide direction 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support to the wider n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etwork in reducing the barriers to migrant integration. </w:t>
            </w:r>
          </w:p>
        </w:tc>
      </w:tr>
      <w:tr w:rsidR="00091277" w14:paraId="00FF8793" w14:textId="77777777" w:rsidTr="00091277">
        <w:tc>
          <w:tcPr>
            <w:tcW w:w="2689" w:type="dxa"/>
          </w:tcPr>
          <w:p w14:paraId="68C6EA99" w14:textId="08B0ADA4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Membership</w:t>
            </w:r>
          </w:p>
        </w:tc>
        <w:tc>
          <w:tcPr>
            <w:tcW w:w="6327" w:type="dxa"/>
          </w:tcPr>
          <w:p w14:paraId="787EA159" w14:textId="27DC59C7" w:rsidR="00B82FC5" w:rsidRDefault="00B82FC5" w:rsidP="007E49C6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Membership of the </w:t>
            </w:r>
            <w:r w:rsidR="007E49C6">
              <w:rPr>
                <w:rFonts w:ascii="Arial" w:hAnsi="Arial" w:cs="Arial"/>
              </w:rPr>
              <w:t>Rights Thematic</w:t>
            </w:r>
            <w:r w:rsidR="00660D2A">
              <w:rPr>
                <w:rFonts w:ascii="Arial" w:hAnsi="Arial" w:cs="Arial"/>
              </w:rPr>
              <w:t xml:space="preserve"> Group</w:t>
            </w:r>
            <w:r w:rsidRPr="00737279">
              <w:rPr>
                <w:rFonts w:ascii="Arial" w:hAnsi="Arial" w:cs="Arial"/>
              </w:rPr>
              <w:t xml:space="preserve"> </w:t>
            </w:r>
            <w:r w:rsidR="007E49C6">
              <w:rPr>
                <w:rFonts w:ascii="Arial" w:hAnsi="Arial" w:cs="Arial"/>
              </w:rPr>
              <w:t xml:space="preserve">is open to any VCS organisation with an interest </w:t>
            </w:r>
            <w:r w:rsidR="00A771CC">
              <w:rPr>
                <w:rFonts w:ascii="Arial" w:hAnsi="Arial" w:cs="Arial"/>
              </w:rPr>
              <w:t xml:space="preserve">or involvement in </w:t>
            </w:r>
            <w:r w:rsidR="00111715">
              <w:rPr>
                <w:rFonts w:ascii="Arial" w:hAnsi="Arial" w:cs="Arial"/>
              </w:rPr>
              <w:t xml:space="preserve">ensuring migrant access to </w:t>
            </w:r>
            <w:r w:rsidR="0064059A">
              <w:rPr>
                <w:rFonts w:ascii="Arial" w:hAnsi="Arial" w:cs="Arial"/>
              </w:rPr>
              <w:t xml:space="preserve">basic rights and entitlements. </w:t>
            </w:r>
          </w:p>
          <w:p w14:paraId="5BEE0571" w14:textId="77777777" w:rsidR="00801342" w:rsidRPr="00B86757" w:rsidRDefault="00801342" w:rsidP="00374C67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11C8F714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65BB6592" w14:textId="4CF3ED1F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Members with </w:t>
            </w:r>
            <w:r w:rsidR="00D55AE8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Thematic </w:t>
            </w: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Lead Roles:</w:t>
            </w:r>
          </w:p>
          <w:p w14:paraId="5DD24E78" w14:textId="02F32B9C" w:rsid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1470E28" w14:textId="6498DB62" w:rsidR="00D55AE8" w:rsidRPr="00D55AE8" w:rsidRDefault="00E517B0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Danai </w:t>
            </w:r>
            <w:proofErr w:type="spellStart"/>
            <w:r w:rsidR="00E57E50">
              <w:rPr>
                <w:rFonts w:ascii="Arial" w:eastAsia="Calibri" w:hAnsi="Arial" w:cs="Arial"/>
                <w:color w:val="000000"/>
                <w:lang w:val="en-US"/>
              </w:rPr>
              <w:t>Papachristopolou</w:t>
            </w:r>
            <w:proofErr w:type="spellEnd"/>
            <w:r w:rsidR="00E57E50">
              <w:rPr>
                <w:rFonts w:ascii="Arial" w:eastAsia="Calibri" w:hAnsi="Arial" w:cs="Arial"/>
                <w:color w:val="000000"/>
                <w:lang w:val="en-US"/>
              </w:rPr>
              <w:t xml:space="preserve"> (Refugee and Migrant Centre)</w:t>
            </w:r>
          </w:p>
          <w:p w14:paraId="682B4EF6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60812F5F" w14:textId="72080340" w:rsidR="00B82FC5" w:rsidRPr="00B86757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7542D1">
              <w:rPr>
                <w:rFonts w:ascii="Arial" w:hAnsi="Arial" w:cs="Arial"/>
                <w:b/>
                <w:bCs/>
              </w:rPr>
              <w:t>Supplementary Membership by Invitation:</w:t>
            </w:r>
          </w:p>
          <w:p w14:paraId="3222ED8A" w14:textId="2FE1186D" w:rsidR="00B82FC5" w:rsidRPr="00B86757" w:rsidRDefault="00B82FC5" w:rsidP="00B82FC5">
            <w:pPr>
              <w:rPr>
                <w:rFonts w:ascii="Arial" w:hAnsi="Arial" w:cs="Arial"/>
              </w:rPr>
            </w:pPr>
          </w:p>
        </w:tc>
      </w:tr>
      <w:tr w:rsidR="00091277" w14:paraId="0C1ABF31" w14:textId="77777777" w:rsidTr="00091277">
        <w:tc>
          <w:tcPr>
            <w:tcW w:w="2689" w:type="dxa"/>
          </w:tcPr>
          <w:p w14:paraId="6600CDF8" w14:textId="51BA27CD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6327" w:type="dxa"/>
          </w:tcPr>
          <w:p w14:paraId="47EA8C72" w14:textId="57253630" w:rsidR="00091277" w:rsidRPr="00091277" w:rsidRDefault="00975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Thematic Lead </w:t>
            </w:r>
          </w:p>
        </w:tc>
      </w:tr>
      <w:tr w:rsidR="00091277" w14:paraId="01128B3A" w14:textId="77777777" w:rsidTr="00091277">
        <w:tc>
          <w:tcPr>
            <w:tcW w:w="2689" w:type="dxa"/>
          </w:tcPr>
          <w:p w14:paraId="7925831A" w14:textId="7A84EE4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6327" w:type="dxa"/>
          </w:tcPr>
          <w:p w14:paraId="2F238783" w14:textId="66E7D3C8" w:rsidR="00091277" w:rsidRPr="00091277" w:rsidRDefault="006E5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 </w:t>
            </w:r>
            <w:r w:rsidR="00521207">
              <w:rPr>
                <w:rFonts w:ascii="Arial" w:hAnsi="Arial" w:cs="Arial"/>
              </w:rPr>
              <w:t>three months</w:t>
            </w:r>
          </w:p>
        </w:tc>
      </w:tr>
      <w:tr w:rsidR="00D17AE1" w14:paraId="29D6798E" w14:textId="77777777" w:rsidTr="00091277">
        <w:tc>
          <w:tcPr>
            <w:tcW w:w="2689" w:type="dxa"/>
          </w:tcPr>
          <w:p w14:paraId="1B376284" w14:textId="7B1B69F1" w:rsidR="00D17AE1" w:rsidRPr="00091277" w:rsidRDefault="00D17A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6327" w:type="dxa"/>
          </w:tcPr>
          <w:p w14:paraId="36CB21A5" w14:textId="499CA561" w:rsidR="00D17AE1" w:rsidRPr="004F1C3E" w:rsidRDefault="00521207">
            <w:pPr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</w:rPr>
              <w:t xml:space="preserve">Migration Policy and Practice </w:t>
            </w:r>
          </w:p>
        </w:tc>
      </w:tr>
      <w:tr w:rsidR="00091277" w14:paraId="1C4DE431" w14:textId="77777777" w:rsidTr="00091277">
        <w:tc>
          <w:tcPr>
            <w:tcW w:w="2689" w:type="dxa"/>
          </w:tcPr>
          <w:p w14:paraId="3F73F35B" w14:textId="33679D5E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Functions</w:t>
            </w:r>
          </w:p>
        </w:tc>
        <w:tc>
          <w:tcPr>
            <w:tcW w:w="6327" w:type="dxa"/>
          </w:tcPr>
          <w:p w14:paraId="5D427CD6" w14:textId="36815546" w:rsidR="00416487" w:rsidRDefault="00416487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</w:t>
            </w:r>
            <w:r w:rsidR="00E912D2">
              <w:rPr>
                <w:rFonts w:ascii="Arial" w:hAnsi="Arial" w:cs="Arial"/>
              </w:rPr>
              <w:t>responses and actions to current Sector Priorities</w:t>
            </w:r>
          </w:p>
          <w:p w14:paraId="54A0CF95" w14:textId="0A864CF1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what is known within current data in </w:t>
            </w:r>
            <w:r w:rsidR="001A0C70" w:rsidRPr="00F908A5">
              <w:rPr>
                <w:rFonts w:ascii="Arial" w:hAnsi="Arial" w:cs="Arial"/>
              </w:rPr>
              <w:t xml:space="preserve">Birmingham and the Black Country </w:t>
            </w:r>
            <w:r w:rsidR="00103EA3" w:rsidRPr="00F908A5">
              <w:rPr>
                <w:rFonts w:ascii="Arial" w:hAnsi="Arial" w:cs="Arial"/>
              </w:rPr>
              <w:t>around</w:t>
            </w:r>
            <w:r w:rsidRPr="00F908A5">
              <w:rPr>
                <w:rFonts w:ascii="Arial" w:hAnsi="Arial" w:cs="Arial"/>
              </w:rPr>
              <w:t xml:space="preserve"> </w:t>
            </w:r>
            <w:r w:rsidR="00103EA3" w:rsidRPr="00F908A5">
              <w:rPr>
                <w:rFonts w:ascii="Arial" w:hAnsi="Arial" w:cs="Arial"/>
              </w:rPr>
              <w:t xml:space="preserve">barriers to </w:t>
            </w:r>
            <w:r w:rsidR="006130DA">
              <w:rPr>
                <w:rFonts w:ascii="Arial" w:hAnsi="Arial" w:cs="Arial"/>
              </w:rPr>
              <w:t xml:space="preserve">basic rights access. </w:t>
            </w:r>
          </w:p>
          <w:p w14:paraId="702D8AD9" w14:textId="7950B953" w:rsidR="00933016" w:rsidRPr="00F908A5" w:rsidRDefault="00933016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learn from </w:t>
            </w:r>
            <w:r w:rsidR="00ED19FF" w:rsidRPr="00F908A5">
              <w:rPr>
                <w:rFonts w:ascii="Arial" w:hAnsi="Arial" w:cs="Arial"/>
              </w:rPr>
              <w:t xml:space="preserve">the experience of other </w:t>
            </w:r>
            <w:r w:rsidR="00103EA3" w:rsidRPr="00F908A5">
              <w:rPr>
                <w:rFonts w:ascii="Arial" w:hAnsi="Arial" w:cs="Arial"/>
              </w:rPr>
              <w:t>partners to</w:t>
            </w:r>
            <w:r w:rsidR="001B72E5" w:rsidRPr="00F908A5">
              <w:rPr>
                <w:rFonts w:ascii="Arial" w:hAnsi="Arial" w:cs="Arial"/>
              </w:rPr>
              <w:t xml:space="preserve"> share actions and recommendations</w:t>
            </w:r>
          </w:p>
          <w:p w14:paraId="39834EA7" w14:textId="3BECE7D3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gaps and make recommendations for improvement in </w:t>
            </w:r>
            <w:r w:rsidR="00416487">
              <w:rPr>
                <w:rFonts w:ascii="Arial" w:hAnsi="Arial" w:cs="Arial"/>
              </w:rPr>
              <w:t xml:space="preserve">access. </w:t>
            </w:r>
          </w:p>
          <w:p w14:paraId="620148A0" w14:textId="6D2E23F5" w:rsidR="00B95EB9" w:rsidRPr="00F908A5" w:rsidRDefault="00B95EB9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hAnsi="Arial" w:cs="Arial"/>
              </w:rPr>
            </w:pPr>
            <w:r w:rsidRPr="00F908A5">
              <w:rPr>
                <w:rFonts w:ascii="Arial" w:eastAsia="Calibri" w:hAnsi="Arial" w:cs="Arial"/>
              </w:rPr>
              <w:t>Establish a robust understanding</w:t>
            </w:r>
            <w:r w:rsidR="00AA6CF8" w:rsidRPr="00F908A5">
              <w:rPr>
                <w:rFonts w:ascii="Arial" w:eastAsia="Calibri" w:hAnsi="Arial" w:cs="Arial"/>
              </w:rPr>
              <w:t xml:space="preserve"> (demographics and scale) </w:t>
            </w:r>
            <w:r w:rsidRPr="00F908A5">
              <w:rPr>
                <w:rFonts w:ascii="Arial" w:eastAsia="Calibri" w:hAnsi="Arial" w:cs="Arial"/>
              </w:rPr>
              <w:t xml:space="preserve">of </w:t>
            </w:r>
            <w:r w:rsidR="009C4E8A" w:rsidRPr="00F908A5">
              <w:rPr>
                <w:rFonts w:ascii="Arial" w:eastAsia="Calibri" w:hAnsi="Arial" w:cs="Arial"/>
              </w:rPr>
              <w:t xml:space="preserve">emerging communities and needs within the region. </w:t>
            </w:r>
          </w:p>
          <w:p w14:paraId="628E6726" w14:textId="3B558F9A" w:rsidR="00724861" w:rsidRPr="00F908A5" w:rsidRDefault="00724861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Work closely with </w:t>
            </w:r>
            <w:proofErr w:type="spellStart"/>
            <w:r w:rsidRPr="00F908A5">
              <w:rPr>
                <w:rFonts w:ascii="Arial" w:eastAsia="Calibri" w:hAnsi="Arial" w:cs="Arial"/>
                <w:iCs/>
                <w:lang w:val="en-US"/>
              </w:rPr>
              <w:t>organisations</w:t>
            </w:r>
            <w:proofErr w:type="spellEnd"/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supporting </w:t>
            </w:r>
            <w:r w:rsidR="00AF0DE4" w:rsidRPr="00F908A5">
              <w:rPr>
                <w:rFonts w:ascii="Arial" w:eastAsia="Calibri" w:hAnsi="Arial" w:cs="Arial"/>
                <w:iCs/>
                <w:lang w:val="en-US"/>
              </w:rPr>
              <w:t>migrants</w:t>
            </w: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to share impacts of interventions and best practice </w:t>
            </w:r>
            <w:r w:rsidR="002011DA">
              <w:rPr>
                <w:rFonts w:ascii="Arial" w:hAnsi="Arial" w:cs="Arial"/>
              </w:rPr>
              <w:t xml:space="preserve">around a rights based approach to migrant integration. </w:t>
            </w:r>
          </w:p>
          <w:p w14:paraId="5E4BC83E" w14:textId="7FED79F1" w:rsidR="00091277" w:rsidRPr="00972DDE" w:rsidRDefault="004F1C3E" w:rsidP="00972DDE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</w:rPr>
              <w:t xml:space="preserve">Engage with </w:t>
            </w:r>
            <w:r w:rsidR="0014441A" w:rsidRPr="00F908A5">
              <w:rPr>
                <w:rFonts w:ascii="Arial" w:eastAsia="Calibri" w:hAnsi="Arial" w:cs="Arial"/>
              </w:rPr>
              <w:t>wider voluntary sector, statutory bodies and partners t</w:t>
            </w:r>
            <w:r w:rsidR="00F908A5" w:rsidRPr="00F908A5">
              <w:rPr>
                <w:rFonts w:ascii="Arial" w:eastAsia="Calibri" w:hAnsi="Arial" w:cs="Arial"/>
              </w:rPr>
              <w:t>o</w:t>
            </w:r>
            <w:r w:rsidRPr="00F908A5">
              <w:rPr>
                <w:rFonts w:ascii="Arial" w:eastAsia="Times New Roman" w:hAnsi="Arial" w:cs="Arial"/>
              </w:rPr>
              <w:t xml:space="preserve"> establish links to</w:t>
            </w:r>
            <w:r w:rsidR="00D17AE1" w:rsidRPr="00F908A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17AE1" w:rsidRPr="00F908A5">
              <w:rPr>
                <w:rFonts w:ascii="Arial" w:eastAsia="Calibri" w:hAnsi="Arial" w:cs="Arial"/>
                <w:lang w:val="en-US"/>
              </w:rPr>
              <w:t>promote and support activity  necessary to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 </w:t>
            </w:r>
            <w:r w:rsidR="007833F6">
              <w:rPr>
                <w:rFonts w:ascii="Arial" w:eastAsia="Calibri" w:hAnsi="Arial" w:cs="Arial"/>
                <w:lang w:val="en-US"/>
              </w:rPr>
              <w:t xml:space="preserve">ensure 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access </w:t>
            </w:r>
            <w:r w:rsidR="007833F6">
              <w:rPr>
                <w:rFonts w:ascii="Arial" w:eastAsia="Calibri" w:hAnsi="Arial" w:cs="Arial"/>
                <w:lang w:val="en-US"/>
              </w:rPr>
              <w:t xml:space="preserve">to 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basic needs. </w:t>
            </w:r>
            <w:r w:rsidR="00F908A5" w:rsidRPr="00F908A5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</w:tr>
      <w:tr w:rsidR="00091277" w14:paraId="10CD81F9" w14:textId="77777777" w:rsidTr="00091277">
        <w:tc>
          <w:tcPr>
            <w:tcW w:w="2689" w:type="dxa"/>
          </w:tcPr>
          <w:p w14:paraId="7337F454" w14:textId="434F0AE0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Reporting Relationship</w:t>
            </w:r>
          </w:p>
        </w:tc>
        <w:tc>
          <w:tcPr>
            <w:tcW w:w="6327" w:type="dxa"/>
          </w:tcPr>
          <w:p w14:paraId="44A53420" w14:textId="36EEEAB0" w:rsidR="00091277" w:rsidRPr="00B82FC5" w:rsidRDefault="00B82FC5" w:rsidP="00B82FC5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The </w:t>
            </w:r>
            <w:r w:rsidR="00972DDE">
              <w:rPr>
                <w:rFonts w:ascii="Arial" w:hAnsi="Arial" w:cs="Arial"/>
              </w:rPr>
              <w:t xml:space="preserve">Rights Thematic Group will </w:t>
            </w:r>
            <w:r w:rsidR="00B22B64">
              <w:rPr>
                <w:rFonts w:ascii="Arial" w:hAnsi="Arial" w:cs="Arial"/>
              </w:rPr>
              <w:t xml:space="preserve">provide a quarterly update to the </w:t>
            </w:r>
            <w:r w:rsidR="00BC38E7">
              <w:rPr>
                <w:rFonts w:ascii="Arial" w:hAnsi="Arial" w:cs="Arial"/>
              </w:rPr>
              <w:t xml:space="preserve">Regional Leadership Group </w:t>
            </w:r>
            <w:r w:rsidR="00B22B64">
              <w:rPr>
                <w:rFonts w:ascii="Arial" w:hAnsi="Arial" w:cs="Arial"/>
              </w:rPr>
              <w:t>on progress against current Sector Priorities.</w:t>
            </w:r>
            <w:r w:rsidR="00C21056">
              <w:rPr>
                <w:rFonts w:ascii="Arial" w:hAnsi="Arial" w:cs="Arial"/>
              </w:rPr>
              <w:t xml:space="preserve"> </w:t>
            </w:r>
            <w:r w:rsidR="00E2467F">
              <w:rPr>
                <w:rFonts w:ascii="Arial" w:hAnsi="Arial" w:cs="Arial"/>
              </w:rPr>
              <w:t>The Rights Thematic lead will attend Regional Leadership Group meetings on a quarterly basis.</w:t>
            </w:r>
          </w:p>
        </w:tc>
      </w:tr>
      <w:tr w:rsidR="00091277" w14:paraId="54DB8EA6" w14:textId="77777777" w:rsidTr="00091277">
        <w:tc>
          <w:tcPr>
            <w:tcW w:w="2689" w:type="dxa"/>
          </w:tcPr>
          <w:p w14:paraId="36FFF8D6" w14:textId="0185C003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Review</w:t>
            </w:r>
          </w:p>
        </w:tc>
        <w:tc>
          <w:tcPr>
            <w:tcW w:w="6327" w:type="dxa"/>
          </w:tcPr>
          <w:p w14:paraId="14F9F93E" w14:textId="34872053" w:rsidR="00091277" w:rsidRPr="00B86757" w:rsidRDefault="007776B3">
            <w:pPr>
              <w:rPr>
                <w:rFonts w:ascii="Arial" w:hAnsi="Arial" w:cs="Arial"/>
              </w:rPr>
            </w:pPr>
            <w:r w:rsidRPr="00B86757">
              <w:rPr>
                <w:rFonts w:ascii="Arial" w:hAnsi="Arial" w:cs="Arial"/>
              </w:rPr>
              <w:t>Annually</w:t>
            </w:r>
          </w:p>
        </w:tc>
      </w:tr>
    </w:tbl>
    <w:p w14:paraId="34E4B1F8" w14:textId="77777777" w:rsidR="00091277" w:rsidRDefault="00091277" w:rsidP="00737279"/>
    <w:sectPr w:rsidR="00091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3468" w14:textId="77777777" w:rsidR="005C7A15" w:rsidRDefault="005C7A15" w:rsidP="005C7A15">
      <w:pPr>
        <w:spacing w:after="0" w:line="240" w:lineRule="auto"/>
      </w:pPr>
      <w:r>
        <w:separator/>
      </w:r>
    </w:p>
  </w:endnote>
  <w:endnote w:type="continuationSeparator" w:id="0">
    <w:p w14:paraId="24F931E2" w14:textId="77777777" w:rsidR="005C7A15" w:rsidRDefault="005C7A15" w:rsidP="005C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60CC" w14:textId="77777777" w:rsidR="005C7A15" w:rsidRDefault="005C7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94C2" w14:textId="77777777" w:rsidR="005C7A15" w:rsidRDefault="005C7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FCCB" w14:textId="77777777" w:rsidR="005C7A15" w:rsidRDefault="005C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DD68" w14:textId="77777777" w:rsidR="005C7A15" w:rsidRDefault="005C7A15" w:rsidP="005C7A15">
      <w:pPr>
        <w:spacing w:after="0" w:line="240" w:lineRule="auto"/>
      </w:pPr>
      <w:r>
        <w:separator/>
      </w:r>
    </w:p>
  </w:footnote>
  <w:footnote w:type="continuationSeparator" w:id="0">
    <w:p w14:paraId="24B96C92" w14:textId="77777777" w:rsidR="005C7A15" w:rsidRDefault="005C7A15" w:rsidP="005C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CB5E" w14:textId="77777777" w:rsidR="005C7A15" w:rsidRDefault="005C7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504725"/>
      <w:docPartObj>
        <w:docPartGallery w:val="Watermarks"/>
        <w:docPartUnique/>
      </w:docPartObj>
    </w:sdtPr>
    <w:sdtEndPr/>
    <w:sdtContent>
      <w:p w14:paraId="07CE5FB0" w14:textId="3A59F01A" w:rsidR="005C7A15" w:rsidRDefault="00E57E50">
        <w:pPr>
          <w:pStyle w:val="Header"/>
        </w:pPr>
        <w:r>
          <w:rPr>
            <w:noProof/>
          </w:rPr>
          <w:pict w14:anchorId="7F76D6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4B6" w14:textId="77777777" w:rsidR="005C7A15" w:rsidRDefault="005C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709"/>
    <w:multiLevelType w:val="hybridMultilevel"/>
    <w:tmpl w:val="147AF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A11CBA"/>
    <w:multiLevelType w:val="hybridMultilevel"/>
    <w:tmpl w:val="8078D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25755"/>
    <w:multiLevelType w:val="hybridMultilevel"/>
    <w:tmpl w:val="59F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0918"/>
    <w:multiLevelType w:val="hybridMultilevel"/>
    <w:tmpl w:val="FAF2AF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17025"/>
    <w:multiLevelType w:val="hybridMultilevel"/>
    <w:tmpl w:val="002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2105"/>
    <w:multiLevelType w:val="hybridMultilevel"/>
    <w:tmpl w:val="EE5E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4D53"/>
    <w:multiLevelType w:val="hybridMultilevel"/>
    <w:tmpl w:val="6E1A4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6615A"/>
    <w:multiLevelType w:val="hybridMultilevel"/>
    <w:tmpl w:val="F4D66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132E"/>
    <w:multiLevelType w:val="hybridMultilevel"/>
    <w:tmpl w:val="93465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666479">
    <w:abstractNumId w:val="3"/>
  </w:num>
  <w:num w:numId="2" w16cid:durableId="881937743">
    <w:abstractNumId w:val="5"/>
  </w:num>
  <w:num w:numId="3" w16cid:durableId="851651003">
    <w:abstractNumId w:val="2"/>
  </w:num>
  <w:num w:numId="4" w16cid:durableId="143354162">
    <w:abstractNumId w:val="4"/>
  </w:num>
  <w:num w:numId="5" w16cid:durableId="1409812669">
    <w:abstractNumId w:val="0"/>
  </w:num>
  <w:num w:numId="6" w16cid:durableId="2067802069">
    <w:abstractNumId w:val="7"/>
  </w:num>
  <w:num w:numId="7" w16cid:durableId="834953148">
    <w:abstractNumId w:val="8"/>
  </w:num>
  <w:num w:numId="8" w16cid:durableId="606622257">
    <w:abstractNumId w:val="6"/>
  </w:num>
  <w:num w:numId="9" w16cid:durableId="136540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77"/>
    <w:rsid w:val="00034821"/>
    <w:rsid w:val="00037748"/>
    <w:rsid w:val="00041A0B"/>
    <w:rsid w:val="000675D2"/>
    <w:rsid w:val="00091277"/>
    <w:rsid w:val="00094ED1"/>
    <w:rsid w:val="000E6784"/>
    <w:rsid w:val="00103EA3"/>
    <w:rsid w:val="00111715"/>
    <w:rsid w:val="0014441A"/>
    <w:rsid w:val="00176994"/>
    <w:rsid w:val="001A0C70"/>
    <w:rsid w:val="001B72E5"/>
    <w:rsid w:val="002011DA"/>
    <w:rsid w:val="00235536"/>
    <w:rsid w:val="002A338B"/>
    <w:rsid w:val="00312EBE"/>
    <w:rsid w:val="00374C67"/>
    <w:rsid w:val="00416487"/>
    <w:rsid w:val="00453C57"/>
    <w:rsid w:val="00464B28"/>
    <w:rsid w:val="004B7599"/>
    <w:rsid w:val="004F1C3E"/>
    <w:rsid w:val="00521207"/>
    <w:rsid w:val="005676D5"/>
    <w:rsid w:val="005C7A15"/>
    <w:rsid w:val="006130DA"/>
    <w:rsid w:val="0064059A"/>
    <w:rsid w:val="00657666"/>
    <w:rsid w:val="00660D2A"/>
    <w:rsid w:val="006A57CB"/>
    <w:rsid w:val="006E5B19"/>
    <w:rsid w:val="00724861"/>
    <w:rsid w:val="00737279"/>
    <w:rsid w:val="007542D1"/>
    <w:rsid w:val="007776B3"/>
    <w:rsid w:val="007833F6"/>
    <w:rsid w:val="007B2D6F"/>
    <w:rsid w:val="007C32A3"/>
    <w:rsid w:val="007E49C6"/>
    <w:rsid w:val="00801342"/>
    <w:rsid w:val="00880005"/>
    <w:rsid w:val="008907F2"/>
    <w:rsid w:val="008C7303"/>
    <w:rsid w:val="008F0B2F"/>
    <w:rsid w:val="00933016"/>
    <w:rsid w:val="00941971"/>
    <w:rsid w:val="00972DDE"/>
    <w:rsid w:val="00975D1B"/>
    <w:rsid w:val="009C4E8A"/>
    <w:rsid w:val="009D5EF4"/>
    <w:rsid w:val="00A317C7"/>
    <w:rsid w:val="00A60E2F"/>
    <w:rsid w:val="00A6131E"/>
    <w:rsid w:val="00A771CC"/>
    <w:rsid w:val="00A943EF"/>
    <w:rsid w:val="00A959CB"/>
    <w:rsid w:val="00AA6CF8"/>
    <w:rsid w:val="00AC24EE"/>
    <w:rsid w:val="00AF0DE4"/>
    <w:rsid w:val="00B22B64"/>
    <w:rsid w:val="00B82FC5"/>
    <w:rsid w:val="00B86757"/>
    <w:rsid w:val="00B95EB9"/>
    <w:rsid w:val="00BC38E7"/>
    <w:rsid w:val="00C21056"/>
    <w:rsid w:val="00C22632"/>
    <w:rsid w:val="00C9342D"/>
    <w:rsid w:val="00D17AE1"/>
    <w:rsid w:val="00D55AE8"/>
    <w:rsid w:val="00D82E22"/>
    <w:rsid w:val="00E2467F"/>
    <w:rsid w:val="00E3283D"/>
    <w:rsid w:val="00E43CD0"/>
    <w:rsid w:val="00E517B0"/>
    <w:rsid w:val="00E57E50"/>
    <w:rsid w:val="00E715CD"/>
    <w:rsid w:val="00E74D28"/>
    <w:rsid w:val="00E912D2"/>
    <w:rsid w:val="00EB5664"/>
    <w:rsid w:val="00ED19FF"/>
    <w:rsid w:val="00ED55C1"/>
    <w:rsid w:val="00F5014B"/>
    <w:rsid w:val="00F712BB"/>
    <w:rsid w:val="00F908A5"/>
    <w:rsid w:val="00FC5D2D"/>
    <w:rsid w:val="00FC6198"/>
    <w:rsid w:val="00FE1F2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016AD9"/>
  <w15:chartTrackingRefBased/>
  <w15:docId w15:val="{F5A9C4A5-8070-494B-836C-F4E550D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1277"/>
  </w:style>
  <w:style w:type="character" w:customStyle="1" w:styleId="eop">
    <w:name w:val="eop"/>
    <w:basedOn w:val="DefaultParagraphFont"/>
    <w:rsid w:val="00091277"/>
  </w:style>
  <w:style w:type="paragraph" w:styleId="ListParagraph">
    <w:name w:val="List Paragraph"/>
    <w:basedOn w:val="Normal"/>
    <w:uiPriority w:val="34"/>
    <w:qFormat/>
    <w:rsid w:val="00B82FC5"/>
    <w:pPr>
      <w:spacing w:after="100" w:afterAutospacing="1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15"/>
  </w:style>
  <w:style w:type="paragraph" w:styleId="Footer">
    <w:name w:val="footer"/>
    <w:basedOn w:val="Normal"/>
    <w:link w:val="FooterChar"/>
    <w:uiPriority w:val="99"/>
    <w:unhideWhenUsed/>
    <w:rsid w:val="005C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6" ma:contentTypeDescription="Create a new document." ma:contentTypeScope="" ma:versionID="37c42eb314f4f69967d1d315fd546e89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0306ef6a05aa2e6bd0889c166ee3d905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2984ce-782b-44c3-b5b3-01b7bf389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48b04-d0ff-4e72-80e6-fa66365109d4}" ma:internalName="TaxCatchAll" ma:showField="CatchAllData" ma:web="3243de84-7949-49a1-8e15-3136d842b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8aa5f-842f-4875-84f4-d3a14324fbbd">
      <Terms xmlns="http://schemas.microsoft.com/office/infopath/2007/PartnerControls"/>
    </lcf76f155ced4ddcb4097134ff3c332f>
    <TaxCatchAll xmlns="3243de84-7949-49a1-8e15-3136d842b167" xsi:nil="true"/>
  </documentManagement>
</p:properties>
</file>

<file path=customXml/itemProps1.xml><?xml version="1.0" encoding="utf-8"?>
<ds:datastoreItem xmlns:ds="http://schemas.openxmlformats.org/officeDocument/2006/customXml" ds:itemID="{93EF560D-EEC5-4FEA-88F6-2BCD671BE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5035E-13A8-49BF-98B5-0A0F89774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aa5f-842f-4875-84f4-d3a14324fbbd"/>
    <ds:schemaRef ds:uri="3243de84-7949-49a1-8e15-3136d842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B632B-A3E4-4F19-9F99-AA7725ACFDF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243de84-7949-49a1-8e15-3136d842b167"/>
    <ds:schemaRef ds:uri="6258aa5f-842f-4875-84f4-d3a14324fbb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Andrew.Hoole@bsettlement.org.uk</dc:creator>
  <cp:keywords/>
  <dc:description/>
  <cp:lastModifiedBy>Andrew Hoole</cp:lastModifiedBy>
  <cp:revision>23</cp:revision>
  <dcterms:created xsi:type="dcterms:W3CDTF">2022-03-14T10:50:00Z</dcterms:created>
  <dcterms:modified xsi:type="dcterms:W3CDTF">2022-10-06T08:49:00Z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  <property fmtid="{D5CDD505-2E9C-101B-9397-08002B2CF9AE}" pid="3" name="MediaServiceImageTags">
    <vt:lpwstr/>
  </property>
</Properties>
</file>